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pPr>
      <w:r>
        <w:t>2026 年 1 月主动公开信息情况表</w:t>
      </w:r>
    </w:p>
    <w:p>
      <w:pPr>
        <w:pStyle w:val="14"/>
        <w:keepNext w:val="0"/>
        <w:keepLines w:val="0"/>
        <w:widowControl/>
        <w:suppressLineNumbers w:val="0"/>
      </w:pPr>
      <w:r>
        <w:rPr>
          <w:rStyle w:val="17"/>
        </w:rPr>
        <w:t>单位：</w:t>
      </w:r>
      <w:r>
        <w:t xml:space="preserve"> 国网慈溪市供电公司</w:t>
      </w:r>
      <w:r>
        <w:rPr>
          <w:rFonts w:hint="eastAsia"/>
          <w:lang w:val="en-US" w:eastAsia="zh-CN"/>
        </w:rPr>
        <w:t xml:space="preserve">                                                       </w:t>
      </w:r>
      <w:r>
        <w:rPr>
          <w:rStyle w:val="17"/>
        </w:rPr>
        <w:t>填报日期：</w:t>
      </w:r>
      <w:r>
        <w:t xml:space="preserve"> 2026年 2 月 2 日</w:t>
      </w:r>
    </w:p>
    <w:tbl>
      <w:tblPr>
        <w:tblStyle w:val="15"/>
        <w:tblW w:w="5000" w:type="pct"/>
        <w:tblCellSpacing w:w="15" w:type="dxa"/>
        <w:tblInd w:w="0" w:type="dxa"/>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45"/>
        <w:gridCol w:w="930"/>
        <w:gridCol w:w="1290"/>
        <w:gridCol w:w="810"/>
        <w:gridCol w:w="9105"/>
      </w:tblGrid>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blHeader/>
          <w:tblCellSpacing w:w="15" w:type="dxa"/>
        </w:trPr>
        <w:tc>
          <w:tcPr>
            <w:tcW w:w="60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序号</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公开信息条目</w:t>
            </w:r>
          </w:p>
        </w:tc>
        <w:tc>
          <w:tcPr>
            <w:tcW w:w="180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最后变动日期</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1月更新情况</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公开网址或移动客户端栏目名称</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供电企业基本情况</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该栏目网址：https://xxgk.zj.sgcc.com.cn/xxgk-web/#/HomepageDetails?msgCategoryId=news0000000649&amp;areaId=3340540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https://xxgk.zj.sgcc.com.cn/xxgk-web/#/articleDetails?msgCategoryId=news0000000649&amp;areaId=3340540&amp;recordId=news0000013873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(国网慈溪市供电公司企业介绍)</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办理用电业务有关信息</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该栏目网址：https://xxgk.zj.sgcc.com.cn/xxgk-web/#/HomepageDetails?msgCategoryId=news0000000690&amp;areaId=3340540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https://xxgk.zj.sgcc.com.cn/xxgk-web/#/articleDetails?msgCategoryId=news0000000690&amp;areaId=3340540&amp;recordId=news0000316087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(新能源上网电价市场化改革政策告知书)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https://xxgk.zj.sgcc.com.cn/xxgk-web/#/articleDetails?msgCategoryId=news0000000690&amp;areaId=3340540&amp;recordId=news0000279742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(用电业务办理告知书)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https://xxgk.zj.sgcc.com.cn/xxgk-web/#/articleDetails?msgCategoryId=news0000000690&amp;areaId=3340540&amp;recordId=news0000260880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(国网浙江电力关于第三监管周期输配电价执行相关事项的告知书)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https://xxgk.zj.sgcc.com.cn/xxgk-web/#/articleDetails?msgCategoryId=news0000000690&amp;areaId=3340540&amp;recordId=news0000274704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(用电业务办理程序)</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https://xxgk.zj.sgcc.com.cn/xxgk-web/#/articleDetails?msgCategoryId=news0000000690&amp;areaId=3340540&amp;recordId=news0000248865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(用电报装目录清单)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3</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执行的电价和收费标准</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该栏目网址：https://xxgk.zj.sgcc.com.cn/xxgk-web/#/HomepageDetails?msgCategoryId=news0000000691&amp;areaId=3340540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国网浙江省电力有限公司关于2026年2月代理工商业用户购电价格的公告</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https://xxgk.zj.sgcc.com.cn/xxgk-web/#/articleDetails?msgCategoryId=news0000000691&amp;areaId=3340540&amp;recordId=news0000319440</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(国网浙江省电力有限公司关于2026年2月代理工商业用户购电价格的公告)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https://xxgk.zj.sgcc.com.cn/xxgk-web/#/articleDetails?msgCategoryId=news0000000691&amp;areaId=3340540&amp;recordId=news0000315829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(国网浙江省电力有限公司关于2026年1月代理工商业用户购电价格的公告)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https://xxgk.zj.sgcc.com.cn/xxgk-web/#/articleDetails?msgCategoryId=news0000000691&amp;areaId=3340540&amp;recordId=news0000312260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https://xxgk.zj.sgcc.com.cn/xxgk-web/#/articleDetails?msgCategoryId=news0000000691&amp;areaId=3340540&amp;recordId=news0000308912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https://xxgk.zj.sgcc.com.cn/xxgk-web/#/articleDetails?msgCategoryId=news0000000691&amp;areaId=3340540&amp;recordId=news0000306007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(国网浙江省电力有限公司关于2025年10月代理工商业用户购电价格的公告)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https://xxgk.zj.sgcc.com.cn/xxgk-web/#/articleDetails?msgCategoryId=news0000000691&amp;areaId=3340540&amp;recordId=news0000303580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(国网浙江省电力有限公司关于2025年9月代理工商业用户购电价格的公告)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https://xxgk.zj.sgcc.com.cn/xxgk-web/#/articleDetails?msgCategoryId=news0000000691&amp;areaId=3340540&amp;recordId=news0000301678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(国网浙江省电力有限公司关于2025年8月代理工商业用户购电价格的公告)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https://xxgk.zj.sgcc.com.cn/xxgk-web/#/articleDetails?msgCategoryId=news0000000691&amp;areaId=3340540&amp;recordId=news0000300748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(省发展改革委 省能源局关于做好新能源上网电价市场化改革过渡期有关结算事项的通知)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https://xxgk.zj.sgcc.com.cn/xxgk-web/#/articleDetails?msgCategoryId=news0000000691&amp;areaId=3340540&amp;recordId=news0000299057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(国网浙江省电力有限公司关于2025年7月代理工商业用户购电价格的公告)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https://xxgk.zj.sgcc.com.cn/xxgk-web/#/articleDetails?msgCategoryId=news0000000691&amp;areaId=3340540&amp;recordId=news0000296933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(国网浙江省电力有限公司关于2025年6月代理工商业用户购电价格的公告)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https://xxgk.zj.sgcc.com.cn/xxgk-web/#/articleDetails?msgCategoryId=news0000000691&amp;areaId=3340540&amp;recordId=news0000293218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https://xxgk.zj.sgcc.com.cn/xxgk-web/#/articleDetails?msgCategoryId=news0000000691&amp;areaId=3340540&amp;recordId=news0000290908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(发改能源〔2025〕262号 国家发展改革委等部门关于促进可再生能源绿色电力证书市场高质量发展的意见)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https://xxgk.zj.sgcc.com.cn/xxgk-web/#/articleDetails?msgCategoryId=news0000000691&amp;areaId=3340540&amp;recordId=news0000289426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https://xxgk.zj.sgcc.com.cn/xxgk-web/#/articleDetails?msgCategoryId=news0000000691&amp;areaId=3340540&amp;recordId=news0000286966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https://xxgk.zj.sgcc.com.cn/xxgk-web/#/articleDetails?msgCategoryId=news0000000691&amp;areaId=3340540&amp;recordId=news0000284974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https://xxgk.zj.sgcc.com.cn/xxgk-web/#/articleDetails?msgCategoryId=news0000000691&amp;areaId=3340540&amp;recordId=news0000282497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https://xxgk.zj.sgcc.com.cn/xxgk-web/#/articleDetails?msgCategoryId=news0000000691&amp;areaId=3340540&amp;recordId=news0000280924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https://xxgk.zj.sgcc.com.cn/xxgk-web/#/articleDetails?msgCategoryId=news0000000691&amp;areaId=3340540&amp;recordId=news0000277645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https://xxgk.zj.sgcc.com.cn/xxgk-web/#/articleDetails?msgCategoryId=news0000000691&amp;areaId=3340540&amp;recordId=news0000275307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(国网浙江省电力有限公司关于2024年10月代理工商业用户购电价格的公告)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https://xxgk.zj.sgcc.com.cn/xxgk-web/#/articleDetails?msgCategoryId=news0000000691&amp;areaId=3340540&amp;recordId=news0000270098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(国网浙江省电力有限公司关于2024年9月代理工商业用户购电价格的公告)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https://xxgk.zj.sgcc.com.cn/xxgk-web/#/articleDetails?msgCategoryId=news0000000691&amp;areaId=3340540&amp;recordId=news0000262589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(国网浙江省电力有限公司关于2024年8月代理工商业用户购电价格的公告)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https://xxgk.zj.sgcc.com.cn/xxgk-web/#/articleDetails?msgCategoryId=news0000000691&amp;areaId=3340540&amp;recordId=news0000246003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(国网浙江省电力有限公司关于2024年7月代理工商业用户购电价格的公告)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https://xxgk.zj.sgcc.com.cn/xxgk-web/#/articleDetails?msgCategoryId=news0000000691&amp;areaId=3340540&amp;recordId=news0000245922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(国网浙江省电力有限公司关于2024年6月代理工商业用户购电价格的公告)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https://xxgk.zj.sgcc.com.cn/xxgk-web/#/articleDetails?msgCategoryId=news0000000691&amp;areaId=3340540&amp;recordId=news0000245841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https://xxgk.zj.sgcc.com.cn/xxgk-web/#/articleDetails?msgCategoryId=news0000000691&amp;areaId=3340540&amp;recordId=news0000246327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https://xxgk.zj.sgcc.com.cn/xxgk-web/#/articleDetails?msgCategoryId=news0000000691&amp;areaId=3340540&amp;recordId=news0000246165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https://xxgk.zj.sgcc.com.cn/xxgk-web/#/articleDetails?msgCategoryId=news0000000691&amp;areaId=3340540&amp;recordId=news0000246084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https://xxgk.zj.sgcc.com.cn/xxgk-web/#/articleDetails?msgCategoryId=news0000000691&amp;areaId=3340540&amp;recordId=news0000247890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(浙发改价格〔2024〕21 号省发展改革委关于调整工商业峰谷分时电价政策有关事项的通知)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https://xxgk.zj.sgcc.com.cn/xxgk-web/#/articleDetails?msgCategoryId=news0000000691&amp;areaId=3340540&amp;recordId=news0000248133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(浙发改价格〔2023〕326号省发展改革委 浙江能源监管办 省能源局关于煤电容量电价机制执行有关事项的通知)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https://xxgk.zj.sgcc.com.cn/xxgk-web/#/articleDetails?msgCategoryId=news0000000691&amp;areaId=3340540&amp;recordId=news0000271135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(浙监能市场〔2023〕17号浙江能源监管办关于明确浙江省煤电容量电价机制最大出力申报、认定及考核等有关事项的通知)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https://xxgk.zj.sgcc.com.cn/xxgk-web/#/articleDetails?msgCategoryId=news0000000691&amp;areaId=3340540&amp;recordId=news0000245760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https://xxgk.zj.sgcc.com.cn/xxgk-web/#/articleDetails?msgCategoryId=news0000000691&amp;areaId=3340540&amp;recordId=news0000248457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(浙发改价格〔2023〕316号省发展改革委 省市场监管局关于进一步优化规范电动汽车充换电设施用电价格有关事项的通知)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https://xxgk.zj.sgcc.com.cn/xxgk-web/#/articleDetails?msgCategoryId=news0000000691&amp;areaId=3340540&amp;recordId=news0000248052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(浙发改能源〔2023〕311号省发展改革委 浙江能源监管办 省能源局关于印发《2024年浙江省电力市场化交易方案》的通知)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https://xxgk.zj.sgcc.com.cn/xxgk-web/#/articleDetails?msgCategoryId=news0000000691&amp;areaId=3340540&amp;recordId=news0000248295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(浙发改能源〔2023〕312号省发展改革委 浙江能源监管办 省能源局关于印发《浙江省电力中长期交易规则（2023年修订版）》的通知)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https://xxgk.zj.sgcc.com.cn/xxgk-web/#/articleDetails?msgCategoryId=news0000000691&amp;areaId=3340540&amp;recordId=news0000248376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(浙发改能源函〔2023〕611号省发展改革委 浙江能源监管办 省能源局关于做好2024年度浙江省电力市场化交易相关工作的通知)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https://xxgk.zj.sgcc.com.cn/xxgk-web/#/articleDetails?msgCategoryId=news0000000691&amp;areaId=3340540&amp;recordId=news0000269503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2023-11-10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https://xxgk.zj.sgcc.com.cn/xxgk-web/#/articleDetails?msgCategoryId=news0000000691&amp;areaId=3340540&amp;recordId=news0000271216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(发改价格〔2023〕1501号国家发展改革委 国家能源局关于建立煤电容量电价机制的通知)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2023-10-28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https://xxgk.zj.sgcc.com.cn/xxgk-web/#/articleDetails?msgCategoryId=news0000000691&amp;areaId=3340540&amp;recordId=news0000253774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2023-09-27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https://xxgk.zj.sgcc.com.cn/xxgk-web/#/articleDetails?msgCategoryId=news0000000691&amp;areaId=3340540&amp;recordId=news0000245598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(国网浙江省电力有限公司关于2023年10月代理工商业用户购电价格的公告)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2023-08-28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https://xxgk.zj.sgcc.com.cn/xxgk-web/#/articleDetails?msgCategoryId=news0000000691&amp;areaId=3340540&amp;recordId=news0000245517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(国网浙江省电力有限公司关于2023年9月代理工商业用户购电价格的公告)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2023-07-28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https://xxgk.zj.sgcc.com.cn/xxgk-web/#/articleDetails?msgCategoryId=news0000000691&amp;areaId=3340540&amp;recordId=news0000245436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(国网浙江省电力有限公司关于2023年8月代理工商业用户购电价格的公告)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2023-06-27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https://xxgk.zj.sgcc.com.cn/xxgk-web/#/articleDetails?msgCategoryId=news0000000691&amp;areaId=3340540&amp;recordId=news0000245355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(国网浙江省电力有限公司关于2023年7月代理工商业用户购电价格的公告)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https://xxgk.zj.sgcc.com.cn/xxgk-web/#/articleDetails?msgCategoryId=news0000000691&amp;areaId=3340540&amp;recordId=news0000245274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(国网浙江省电力有限公司关于2023年6月代理工商业用户购电价格的公告)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https://xxgk.zj.sgcc.com.cn/xxgk-web/#/articleDetails?msgCategoryId=news0000000691&amp;areaId=3340540&amp;recordId=news0000275054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(发改综合〔2023〕545号 国家发展改革委 国家能源局关于加快推进充电基础设施建设 更好支持新能源汽车下乡和乡村振兴的实施意见)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https://xxgk.zj.sgcc.com.cn/xxgk-web/#/articleDetails?msgCategoryId=news0000000691&amp;areaId=3340540&amp;recordId=news0000247971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(发改价格〔2023〕526号国家发展改革委关于第三监管周期省级电网输配电价及有关事项的通知)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2023-04-27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https://xxgk.zj.sgcc.com.cn/xxgk-web/#/articleDetails?msgCategoryId=news0000000691&amp;areaId=3340540&amp;recordId=news0000254785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2023-03-28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https://xxgk.zj.sgcc.com.cn/xxgk-web/#/articleDetails?msgCategoryId=news0000000691&amp;areaId=3340540&amp;recordId=news0000253269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2023-02-25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https://xxgk.zj.sgcc.com.cn/xxgk-web/#/articleDetails?msgCategoryId=news0000000691&amp;areaId=3340540&amp;recordId=news0000254017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https://xxgk.zj.sgcc.com.cn/xxgk-web/#/articleDetails?msgCategoryId=news0000000691&amp;areaId=3340540&amp;recordId=news0000253431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https://xxgk.zj.sgcc.com.cn/xxgk-web/#/articleDetails?msgCategoryId=news0000000691&amp;areaId=3340540&amp;recordId=news0000253512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https://xxgk.zj.sgcc.com.cn/xxgk-web/#/articleDetails?msgCategoryId=news0000000691&amp;areaId=3340540&amp;recordId=news0000247485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(浙发改能源〔2022〕302号 关于印发《2023年浙江省电力市场化交易方案》的通知)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https://xxgk.zj.sgcc.com.cn/xxgk-web/#/articleDetails?msgCategoryId=news0000000691&amp;areaId=3340540&amp;recordId=news0000247809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(浙发改能源〔2022〕301号关于印发《浙江省电力中长期规则（2022年修订版）》的通知)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https://xxgk.zj.sgcc.com.cn/xxgk-web/#/articleDetails?msgCategoryId=news0000000691&amp;areaId=3340540&amp;recordId=news0000253936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(国网浙江省电力有限公司关于2022年代理工商业用户购电价格的公告)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https://xxgk.zj.sgcc.com.cn/xxgk-web/#/articleDetails?msgCategoryId=news0000000691&amp;areaId=3340540&amp;recordId=news0000247566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(发改办价格〔2021〕809号 国家发展改革委办公厅关于组织开展电网企业代理购电工作有关事项的通知)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https://xxgk.zj.sgcc.com.cn/xxgk-web/#/articleDetails?msgCategoryId=news0000000691&amp;areaId=3340540&amp;recordId=news0000247400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(浙发改能源〔2021〕426号 关于印发《2022年浙江省电力市场化交易方案》的通知)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https://xxgk.zj.sgcc.com.cn/xxgk-web/#/articleDetails?msgCategoryId=news0000000691&amp;areaId=3340540&amp;recordId=news0000247319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(发改价格〔2021〕1439号文 国家发展改革委关于进一步深化燃煤发电上网电价市场化改革的通知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https://xxgk.zj.sgcc.com.cn/xxgk-web/#/articleDetails?msgCategoryId=news0000000691&amp;areaId=3340540&amp;recordId=news0000247238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(国办函〔2020〕129号 国家发展改革委等部门关于清理规范城镇供水供电供气供暖行业收费促进行业高质量发展意见的通知)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https://xxgk.zj.sgcc.com.cn/xxgk-web/#/articleDetails?msgCategoryId=news0000000691&amp;areaId=3340540&amp;recordId=news0000247157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(发改办价格〔2018〕787号 国家发展改革委办公厅关于清理规范电网和转供电环节收费有关事项的通知)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https://xxgk.zj.sgcc.com.cn/xxgk-web/#/articleDetails?msgCategoryId=news0000000691&amp;areaId=3340540&amp;recordId=news0000247076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(浙价资〔2017〕200号转发国家发展改革委办公厅关于取消临时接电费和明确自备电厂有关收费政策的通知)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https://xxgk.zj.sgcc.com.cn/xxgk-web/#/articleDetails?msgCategoryId=news0000000691&amp;areaId=3340540&amp;recordId=news0000246995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(浙价资〔2017〕46号 关于降低高可靠性供电和临时接电费收费标准的通知)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https://xxgk.zj.sgcc.com.cn/xxgk-web/#/articleDetails?msgCategoryId=news0000000691&amp;areaId=3340540&amp;recordId=news0000246914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(浙价资〔2017〕193号 浙江省物价局关于规范供电企业营业收费的通知)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https://xxgk.zj.sgcc.com.cn/xxgk-web/#/articleDetails?msgCategoryId=news0000000691&amp;areaId=3340540&amp;recordId=news0000246833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(浙发改价格〔2021〕377号浙江省发展改革委关于调整我省目录销售电价有关事项的通知)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https://xxgk.zj.sgcc.com.cn/xxgk-web/#/articleDetails?msgCategoryId=news0000000691&amp;areaId=3340540&amp;recordId=news0000246736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(浙江省电网销售电价表)</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https://xxgk.zj.sgcc.com.cn/xxgk-web/#/articleDetails?msgCategoryId=news0000000691&amp;areaId=3340540&amp;recordId=news0000271306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(国网浙江电力关于开展代理购电服务有关事项的公告)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https://xxgk.zj.sgcc.com.cn/xxgk-web/#/articleDetails?msgCategoryId=news0000000691&amp;areaId=3340540&amp;recordId=news0000246653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(收费项目及依据)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https://xxgk.zj.sgcc.com.cn/xxgk-web/#/articleDetails?msgCategoryId=news0000000691&amp;areaId=3340540&amp;recordId=news0000247728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(浙发改能源〔2021〕427号省发展改革委浙江能源监管办省能源局关于印发《浙江省电力中长期规则（2021年修订版）》的通知)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https://xxgk.zj.sgcc.com.cn/xxgk-web/#/articleDetails?msgCategoryId=news0000000691&amp;areaId=3340540&amp;recordId=news0000247647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(浙发改价格函〔2021〕428号浙江省发展改革委关于居民阶梯电价“一户多人口”政策执行等有关事项的补充通知)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https://xxgk.zj.sgcc.com.cn/xxgk-web/#/articleDetails?msgCategoryId=news0000000691&amp;areaId=3340540&amp;recordId=news0000253180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(国网浙江省电力有限公司关于2021年12月代理工商业用户购电价格的公告)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https://xxgk.zj.sgcc.com.cn/xxgk-web/#/articleDetails?msgCategoryId=news0000000691&amp;areaId=3340540&amp;recordId=news0000308012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(浙发改价格函〔2020〕554号 浙江省发展改革委关于完善居民阶梯电价“一户多人口”政策执行等有关事项的通知)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4</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供电质量情况</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该栏目网址：https://xxgk.zj.sgcc.com.cn/xxgk-web/#/HomepageDetails?msgCategoryId=news0000000692&amp;areaId=3340540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慈溪地区频繁停电10（20）kV线路和公变台区专项整治情况（2025年12月）</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https://xxgk.zj.sgcc.com.cn/xxgk-web/#/articleDetails?msgCategoryId=news0000000692&amp;areaId=3340540&amp;recordId=news0000318006</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(慈溪地区频繁停电10（20）kV线路和公变台区专项整治情况（2025年12月）)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慈溪市2025年四季度供电可靠率和电压合格率情况</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https://xxgk.zj.sgcc.com.cn/xxgk-web/#/articleDetails?msgCategoryId=news0000000692&amp;areaId=3340540&amp;recordId=news0000317334</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(慈溪市2025年四季度供电可靠率和电压合格率情况)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https://xxgk.zj.sgcc.com.cn/xxgk-web/#/articleDetails?msgCategoryId=news0000000692&amp;areaId=3340540&amp;recordId=news0000314256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 （2025年11月）)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https://xxgk.zj.sgcc.com.cn/xxgk-web/#/articleDetails?msgCategoryId=news0000000692&amp;areaId=3340540&amp;recordId=news0000310976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(《电能质量 供电电压偏差》GBT 12325-2008)</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https://xxgk.zj.sgcc.com.cn/xxgk-web/#/articleDetails?msgCategoryId=news0000000692&amp;areaId=3340540&amp;recordId=news0000309924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 （2025年10月）)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https://xxgk.zj.sgcc.com.cn/xxgk-web/#/articleDetails?msgCategoryId=news0000000692&amp;areaId=3340540&amp;recordId=news0000306965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(慈溪市2025年度三季度供电可靠率和电压合格率情况)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https://xxgk.zj.sgcc.com.cn/xxgk-web/#/articleDetails?msgCategoryId=news0000000692&amp;areaId=3340540&amp;recordId=news0000306955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 （2025年9月）)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https://xxgk.zj.sgcc.com.cn/xxgk-web/#/articleDetails?msgCategoryId=news0000000692&amp;areaId=3340540&amp;recordId=news0000305003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(慈溪地区频繁停电10（20）kV线路和公变台区专项整治情况（2025年8月）)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https://xxgk.zj.sgcc.com.cn/xxgk-web/#/articleDetails?msgCategoryId=news0000000692&amp;areaId=3340540&amp;recordId=news0000305001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(慈溪地区频繁停电10（20）kV线路和公变台区专项整治情况（2025年7月）)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https://xxgk.zj.sgcc.com.cn/xxgk-web/#/articleDetails?msgCategoryId=news0000000692&amp;areaId=3340540&amp;recordId=news0000299966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(慈溪市2025年二季度供电可靠率和电压合格率情况)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https://xxgk.zj.sgcc.com.cn/xxgk-web/#/articleDetails?msgCategoryId=news0000000692&amp;areaId=3340540&amp;recordId=news0000290639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https://xxgk.zj.sgcc.com.cn/xxgk-web/#/articleDetails?msgCategoryId=news0000000692&amp;areaId=3340540&amp;recordId=news0000284508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(慈溪市2024年四季度供电可靠率和电压合格率情况)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https://xxgk.zj.sgcc.com.cn/xxgk-web/#/articleDetails?msgCategoryId=news0000000692&amp;areaId=3340540&amp;recordId=news0000276360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(慈溪市2024年三季度供电可靠率和电压合格率情况)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https://xxgk.zj.sgcc.com.cn/xxgk-web/#/articleDetails?msgCategoryId=news0000000692&amp;areaId=3340540&amp;recordId=news0000238272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(慈溪市2024年二季度供电可靠率和电压合格率情况)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https://xxgk.zj.sgcc.com.cn/xxgk-web/#/articleDetails?msgCategoryId=news0000000692&amp;areaId=3340540&amp;recordId=news165831175192186880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https://xxgk.zj.sgcc.com.cn/xxgk-web/#/articleDetails?msgCategoryId=news0000000692&amp;areaId=3340540&amp;recordId=news0000237282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(慈溪市2023年四季度供电可靠率和电压合格率情况)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2023-10-07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https://xxgk.zj.sgcc.com.cn/xxgk-web/#/articleDetails?msgCategoryId=news0000000692&amp;areaId=3340540&amp;recordId=news0000237280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(慈溪市2023年三季度供电可靠率和电压合格率情况)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2023-07-04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https://xxgk.zj.sgcc.com.cn/xxgk-web/#/articleDetails?msgCategoryId=news0000000692&amp;areaId=3340540&amp;recordId=news0000237275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(慈溪市2023年二季度供电可靠率和电压合格率情况)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2023-04-03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2023-02-17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https://xxgk.zj.sgcc.com.cn/xxgk-web/#/articleDetails?msgCategoryId=news0000000692&amp;areaId=3340540&amp;recordId=news0000278241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(国能发安全规〔2023〕17号 国家能源局关于加强电力可靠性管理工作的意见)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(慈溪市2022年供电可靠率和电压合格率情况)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https://xxgk.zj.sgcc.com.cn/xxgk-web/#/articleDetails?msgCategoryId=news0000000692&amp;areaId=3340540&amp;recordId=news0000271466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(《供电监管办法》当中关于两率的内容)</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https://xxgk.zj.sgcc.com.cn/xxgk-web/#/articleDetails?msgCategoryId=news0000000692&amp;areaId=3340540&amp;recordId=news0000271386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(《关于发布全国农村地区供电可靠率及居民用户受电端电压合格率标准的通知》)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https://xxgk.zj.sgcc.com.cn/xxgk-web/#/articleDetails?msgCategoryId=news0000000692&amp;areaId=3340540&amp;recordId=news0000245112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(《电力可靠性管理办法（暂行）》2022年第50号令)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https://xxgk.zj.sgcc.com.cn/xxgk-web/#/articleDetails?msgCategoryId=news0000000692&amp;areaId=3340540&amp;recordId=news0000244862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(国家电网公司电力系统电压质量和无功电力管理规定)</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(慈溪市2021年供电可靠率和电压合格率情况)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https://xxgk.zj.sgcc.com.cn/xxgk-web/#/articleDetails?msgCategoryId=news0000000692&amp;areaId=3340540&amp;recordId=news0000041049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(慈溪市2020年供电可靠率和电压合格率情况)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(慈溪市2019年供电可靠率和电压合格率情况)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https://xxgk.zj.sgcc.com.cn/xxgk-web/#/articleDetails?msgCategoryId=news0000000692&amp;areaId=3340540&amp;recordId=news0000274370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(《国家电网有限公司供电服务“十项承诺”》中关于两率的内容)</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5</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电网检修有关信息</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该栏目网址：https://xxgk.zj.sgcc.com.cn/xxgk-web/#/HomepageDetails?msgCategoryId=news0000002039&amp;areaId=3340540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2026年2月9日-2月15日电网检修公告（本周无检修计划）</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https://xxgk.zj.sgcc.com.cn/xxgk-web/#/articleDetails?msgCategoryId=news0000002039&amp;areaId=3340540&amp;recordId=news0000319594</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(2026年2月9日-2月15日电网检修公告（本周无检修计划）)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2026年2月2日-2月8日电网检修公告（计划检修）</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https://xxgk.zj.sgcc.com.cn/xxgk-web/#/articleDetails?msgCategoryId=news0000002039&amp;areaId=3340540&amp;recordId=news0000319191</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(2026年2月2日-2月8日电网检修公告（计划检修）)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2026-01-23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2026年1月26日-2月1日电网检修公告（临时检修）</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https://xxgk.zj.sgcc.com.cn/xxgk-web/#/articleDetails?msgCategoryId=news0000002039&amp;areaId=3340540&amp;recordId=news0000319193</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(2026年1月26日-2月1日电网检修公告（临时检修）)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2026年1月26日-2月1日电网检修公告（本周无检修计划）</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https://xxgk.zj.sgcc.com.cn/xxgk-web/#/articleDetails?msgCategoryId=news0000002039&amp;areaId=3340540&amp;recordId=news0000318837</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(2026年1月26日-2月1日电网检修公告（本周无检修计划）)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2026年1月19日-1月25日电网检修公告（临时检修）</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https://xxgk.zj.sgcc.com.cn/xxgk-web/#/articleDetails?msgCategoryId=news0000002039&amp;areaId=3340540&amp;recordId=news0000318680</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(2026年1月19日-1月25日电网检修公告（临时检修）)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2026年1月19日-1月25日电网检修公告（本周无检修计划）</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https://xxgk.zj.sgcc.com.cn/xxgk-web/#/articleDetails?msgCategoryId=news0000002039&amp;areaId=3340540&amp;recordId=news0000318337</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(2026年1月19日-1月25日电网检修公告（本周无检修计划）)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2026年1月12日-1月18日电网检修公告（临时检修）</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https://xxgk.zj.sgcc.com.cn/xxgk-web/#/articleDetails?msgCategoryId=news0000002039&amp;areaId=3340540&amp;recordId=news0000318334</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(2026年1月12日-1月18日电网检修公告（临时检修）)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2026年1月5日-1月11日电网检修公告（临时检修）</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https://xxgk.zj.sgcc.com.cn/xxgk-web/#/articleDetails?msgCategoryId=news0000002039&amp;areaId=3340540&amp;recordId=news0000316436</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(2026年1月5日-1月11日电网检修公告（临时检修）)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2026年1月12日-1月18日电网检修公告（本周无检修计划）</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https://xxgk.zj.sgcc.com.cn/xxgk-web/#/articleDetails?msgCategoryId=news0000002039&amp;areaId=3340540&amp;recordId=news0000316433</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(2026年1月12日-1月18日电网检修公告（本周无检修计划）)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https://xxgk.zj.sgcc.com.cn/xxgk-web/#/articleDetails?msgCategoryId=news0000002039&amp;areaId=3340540&amp;recordId=news0000315891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(2026年1月5日-1月11日电网检修公告（本周无检修计划）)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https://xxgk.zj.sgcc.com.cn/xxgk-web/#/articleDetails?msgCategoryId=news0000002039&amp;areaId=3340540&amp;recordId=news0000315645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(2025年12月29日-2026年1月4日电网检修公告（本周无检修计划）)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https://xxgk.zj.sgcc.com.cn/xxgk-web/#/articleDetails?msgCategoryId=news0000002039&amp;areaId=3340540&amp;recordId=news0000315468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(2025年12月22日-12月28日电网检修公告（临时检修）)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https://xxgk.zj.sgcc.com.cn/xxgk-web/#/articleDetails?msgCategoryId=news0000002039&amp;areaId=3340540&amp;recordId=news0000315135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(2025年12月22日-12月28日电网检修公告（本周无检修计划）)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https://xxgk.zj.sgcc.com.cn/xxgk-web/#/articleDetails?msgCategoryId=news0000002039&amp;areaId=3340540&amp;recordId=news0000314930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(2025年12月15日-12月21日电网检修公告（临时检修）)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https://xxgk.zj.sgcc.com.cn/xxgk-web/#/articleDetails?msgCategoryId=news0000002039&amp;areaId=3340540&amp;recordId=news0000313663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(2025年12月15日-12月21日电网检修公告（计划检修）)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https://xxgk.zj.sgcc.com.cn/xxgk-web/#/articleDetails?msgCategoryId=news0000002039&amp;areaId=3340540&amp;recordId=news0000312744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(2025年12月8日-12月14日电网检修公告（临时检修))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https://xxgk.zj.sgcc.com.cn/xxgk-web/#/articleDetails?msgCategoryId=news0000002039&amp;areaId=3340540&amp;recordId=news0000312358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(2025年12月8日-12月14日电网检修公告（计划检修）)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https://xxgk.zj.sgcc.com.cn/xxgk-web/#/articleDetails?msgCategoryId=news0000002039&amp;areaId=3340540&amp;recordId=news0000312217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(2025年12月1日-12月7日电网检修公告（临时检修))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https://xxgk.zj.sgcc.com.cn/xxgk-web/#/articleDetails?msgCategoryId=news0000002039&amp;areaId=3340540&amp;recordId=news0000313303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(关于印发2025年慈溪市迎峰度冬有序用电方案的通知)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https://xxgk.zj.sgcc.com.cn/xxgk-web/#/articleDetails?msgCategoryId=news0000002039&amp;areaId=3340540&amp;recordId=news0000311960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(2025年12月1日-12月7日电网检修公告（本周无检修计划）)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https://xxgk.zj.sgcc.com.cn/xxgk-web/#/articleDetails?msgCategoryId=news0000002039&amp;areaId=3340540&amp;recordId=news0000311920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(2025年11月24日-11月30日电网检修公告（临时检修）)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https://xxgk.zj.sgcc.com.cn/xxgk-web/#/articleDetails?msgCategoryId=news0000002039&amp;areaId=3340540&amp;recordId=news0000311307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(2025年11月24日-11月30日电网检修公告（计划检修）)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https://xxgk.zj.sgcc.com.cn/xxgk-web/#/articleDetails?msgCategoryId=news0000002039&amp;areaId=3340540&amp;recordId=news0000311333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(2025年11月17日-11月23日电网检修公告（临时检修）)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https://xxgk.zj.sgcc.com.cn/xxgk-web/#/articleDetails?msgCategoryId=news0000002039&amp;areaId=3340540&amp;recordId=news0000310473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(2025年11月17日-11月23日电网检修公告（计划检修）)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https://xxgk.zj.sgcc.com.cn/xxgk-web/#/articleDetails?msgCategoryId=news0000002039&amp;areaId=3340540&amp;recordId=news0000310217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(2025年11月10日-11月16日电网检修公告（临时检修）)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https://xxgk.zj.sgcc.com.cn/xxgk-web/#/articleDetails?msgCategoryId=news0000002039&amp;areaId=3340540&amp;recordId=news0000309271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(2025年11月10日-11月16日电网检修公告（计划检修）)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https://xxgk.zj.sgcc.com.cn/xxgk-web/#/articleDetails?msgCategoryId=news0000002039&amp;areaId=3340540&amp;recordId=news0000309230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(2025年11月3日-11月9日电网检修公告（临时检修）)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https://xxgk.zj.sgcc.com.cn/xxgk-web/#/articleDetails?msgCategoryId=news0000002039&amp;areaId=3340540&amp;recordId=news0000308805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(2025年11月3日-11月9日电网检修公告（本周无检修计划）)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https://xxgk.zj.sgcc.com.cn/xxgk-web/#/articleDetails?msgCategoryId=news0000002039&amp;areaId=3340540&amp;recordId=news0000308807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(2025年10月27日-11月2日电网检修公告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https://xxgk.zj.sgcc.com.cn/xxgk-web/#/articleDetails?msgCategoryId=news0000002039&amp;areaId=3340540&amp;recordId=news0000308379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(2025年10月27日-11月2日电网检修公告（本周无检修计划）)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https://xxgk.zj.sgcc.com.cn/xxgk-web/#/articleDetails?msgCategoryId=news0000002039&amp;areaId=3340540&amp;recordId=news0000308343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(2025年10月20日-10月26日电网检修公告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https://xxgk.zj.sgcc.com.cn/xxgk-web/#/articleDetails?msgCategoryId=news0000002039&amp;areaId=3340540&amp;recordId=news0000307804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(2025年10月20日-10月26日电网检修公告（本周无检修计划）)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https://xxgk.zj.sgcc.com.cn/xxgk-web/#/articleDetails?msgCategoryId=news0000002039&amp;areaId=3340540&amp;recordId=news0000307294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(2025年10月13日-10月19日电网检修公告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https://xxgk.zj.sgcc.com.cn/xxgk-web/#/articleDetails?msgCategoryId=news0000002039&amp;areaId=3340540&amp;recordId=news0000306253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(2025年10月13日-10月19日电网检修公告（计划检修）)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https://xxgk.zj.sgcc.com.cn/xxgk-web/#/articleDetails?msgCategoryId=news0000002039&amp;areaId=3340540&amp;recordId=news0000306130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(2025年10月6日-10月12日电网检修公告（计划检修）)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https://xxgk.zj.sgcc.com.cn/xxgk-web/#/articleDetails?msgCategoryId=news0000002039&amp;areaId=3340540&amp;recordId=news0000305912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(2025年9月29日-10月5日电网检修公告（临时检修）)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https://xxgk.zj.sgcc.com.cn/xxgk-web/#/articleDetails?msgCategoryId=news0000002039&amp;areaId=3340540&amp;recordId=news0000305731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(2025年9月29日-10月5日电网检修公告（本周无检修计划）)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https://xxgk.zj.sgcc.com.cn/xxgk-web/#/articleDetails?msgCategoryId=news0000002039&amp;areaId=3340540&amp;recordId=news0000305698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(2025年9月22日-9月28日电网检修公告（临时检修）)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https://xxgk.zj.sgcc.com.cn/xxgk-web/#/articleDetails?msgCategoryId=news0000002039&amp;areaId=3340540&amp;recordId=news0000305217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(2025年9月22日-9月28日电网检修公告（本周无检修计划）)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https://xxgk.zj.sgcc.com.cn/xxgk-web/#/articleDetails?msgCategoryId=news0000002039&amp;areaId=3340540&amp;recordId=news0000305155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(2025年9月15日-9月21日电网检修公告（临时检修）)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https://xxgk.zj.sgcc.com.cn/xxgk-web/#/articleDetails?msgCategoryId=news0000002039&amp;areaId=3340540&amp;recordId=news0000304462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(2025年9月15日-9月21日电网检修公告（本周无检修计划）)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https://xxgk.zj.sgcc.com.cn/xxgk-web/#/articleDetails?msgCategoryId=news0000002039&amp;areaId=3340540&amp;recordId=news0000304330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(2025年9月8日-9月14日电网检修公告（临时检修）)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https://xxgk.zj.sgcc.com.cn/xxgk-web/#/articleDetails?msgCategoryId=news0000002039&amp;areaId=3340540&amp;recordId=news0000303767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(2025年9月8日-9月14日电网检修公告（本周无检修计划）)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https://xxgk.zj.sgcc.com.cn/xxgk-web/#/articleDetails?msgCategoryId=news0000002039&amp;areaId=3340540&amp;recordId=news0000303699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(2025年9月1日-9月7日电网检修公告（临时检修）)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https://xxgk.zj.sgcc.com.cn/xxgk-web/#/articleDetails?msgCategoryId=news0000002039&amp;areaId=3340540&amp;recordId=news0000303349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(2025年9月1日-9月7日电网检修公告（计划检修）)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https://xxgk.zj.sgcc.com.cn/xxgk-web/#/articleDetails?msgCategoryId=news0000002039&amp;areaId=3340540&amp;recordId=news0000303258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(2025年8月25日-8月31日电网检修公告（临时检修）)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2025-08-18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https://xxgk.zj.sgcc.com.cn/xxgk-web/#/articleDetails?msgCategoryId=news0000002039&amp;areaId=3340540&amp;recordId=news0000302732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(2025年8月25日-8月31日电网检修公告（本周无检修计划）)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https://xxgk.zj.sgcc.com.cn/xxgk-web/#/articleDetails?msgCategoryId=news0000002039&amp;areaId=3340540&amp;recordId=news0000302573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(2025年8月18日-8月24日电网检修公告（临时检修）)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https://xxgk.zj.sgcc.com.cn/xxgk-web/#/articleDetails?msgCategoryId=news0000002039&amp;areaId=3340540&amp;recordId=news0000302428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(2025年8月18日-8月24日电网检修公告（计划检修）)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https://xxgk.zj.sgcc.com.cn/xxgk-web/#/articleDetails?msgCategoryId=news0000002039&amp;areaId=3340540&amp;recordId=news0000302390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(2025年8月11日-8月17日电网检修公告（临时检修）)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https://xxgk.zj.sgcc.com.cn/xxgk-web/#/articleDetails?msgCategoryId=news0000002039&amp;areaId=3340540&amp;recordId=news0000302041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(2025年8月11日-8月17日电网检修公告（计划检修）)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https://xxgk.zj.sgcc.com.cn/xxgk-web/#/articleDetails?msgCategoryId=news0000002039&amp;areaId=3340540&amp;recordId=news0000301991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(2025年8月4日-8月10日电网检修公告（临时检修）)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https://xxgk.zj.sgcc.com.cn/xxgk-web/#/articleDetails?msgCategoryId=news0000002039&amp;areaId=3340540&amp;recordId=news0000301611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(2025年8月4日-8月10日电网检修公告（本周无检修计划）)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https://xxgk.zj.sgcc.com.cn/xxgk-web/#/articleDetails?msgCategoryId=news0000002039&amp;areaId=3340540&amp;recordId=news0000301375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(2025年7月28日-8月3日电网检修公告（计划检修）)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https://xxgk.zj.sgcc.com.cn/xxgk-web/#/articleDetails?msgCategoryId=news0000002039&amp;areaId=3340540&amp;recordId=news0000301190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(2025年7月21日-7月27日电网检修公告（临时检修）)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https://xxgk.zj.sgcc.com.cn/xxgk-web/#/articleDetails?msgCategoryId=news0000002039&amp;areaId=3340540&amp;recordId=news0000300724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(2025年7月21日-7月27日电网检修公告（本周无检修计划）)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https://xxgk.zj.sgcc.com.cn/xxgk-web/#/articleDetails?msgCategoryId=news0000002039&amp;areaId=3340540&amp;recordId=news0000300674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(2025年7月14日-7月20日电网检修公告 (临时检修)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https://xxgk.zj.sgcc.com.cn/xxgk-web/#/articleDetails?msgCategoryId=news0000002039&amp;areaId=3340540&amp;recordId=news0000299933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(2025年7月14日-7月20日电网检修公告（本周无检修计划）)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https://xxgk.zj.sgcc.com.cn/xxgk-web/#/articleDetails?msgCategoryId=news0000002039&amp;areaId=3340540&amp;recordId=news0000299868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(2025年7月7日-7月13日电网检修公告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https://xxgk.zj.sgcc.com.cn/xxgk-web/#/articleDetails?msgCategoryId=news0000002039&amp;areaId=3340540&amp;recordId=news0000299179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(2025年7月7日-7月13日电网检修公告（本周无检修计划）)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https://xxgk.zj.sgcc.com.cn/xxgk-web/#/articleDetails?msgCategoryId=news0000002039&amp;areaId=3340540&amp;recordId=news0000298957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(2025年6月30日-7月6日电网检修公告 （临时检修）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https://xxgk.zj.sgcc.com.cn/xxgk-web/#/articleDetails?msgCategoryId=news0000002039&amp;areaId=3340540&amp;recordId=news0000298760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(2025年6月30日-7月6日电网检修公告（本周无检修计划）)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https://xxgk.zj.sgcc.com.cn/xxgk-web/#/articleDetails?msgCategoryId=news0000002039&amp;areaId=3340540&amp;recordId=news0000298722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(2025年6月23日-6月29日电网检修公告（临时检修）)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https://xxgk.zj.sgcc.com.cn/xxgk-web/#/articleDetails?msgCategoryId=news0000002039&amp;areaId=3340540&amp;recordId=news0000298388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(2025年6月23日-6月29日电网检修公告（计划检修）)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https://xxgk.zj.sgcc.com.cn/xxgk-web/#/articleDetails?msgCategoryId=news0000002039&amp;areaId=3340540&amp;recordId=news0000298333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(2025年6月16日-6月22日电网检修公告（临时检修）)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https://xxgk.zj.sgcc.com.cn/xxgk-web/#/articleDetails?msgCategoryId=news0000002039&amp;areaId=3340540&amp;recordId=news0000297808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(2025年6月16日-6月22日电网检修公告（本周无检修计划）)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https://xxgk.zj.sgcc.com.cn/xxgk-web/#/articleDetails?msgCategoryId=news0000002039&amp;areaId=3340540&amp;recordId=news0000297720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(2025年6月9日-6月15日电网检修公告（临时检修）)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https://xxgk.zj.sgcc.com.cn/xxgk-web/#/articleDetails?msgCategoryId=news0000002039&amp;areaId=3340540&amp;recordId=news0000298443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(关于印发2025年慈溪市迎峰度夏有序用电方案的通知)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https://xxgk.zj.sgcc.com.cn/xxgk-web/#/articleDetails?msgCategoryId=news0000002039&amp;areaId=3340540&amp;recordId=news0000297103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(2025年6月9日-6月15日电网检修公告（本周无检修计划）)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https://xxgk.zj.sgcc.com.cn/xxgk-web/#/articleDetails?msgCategoryId=news0000002039&amp;areaId=3340540&amp;recordId=news0000296755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(2025年6月2日至6月8日电网检修公告（临时检修）)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https://xxgk.zj.sgcc.com.cn/xxgk-web/#/articleDetails?msgCategoryId=news0000002039&amp;areaId=3340540&amp;recordId=news0000296541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(2025年6月2日-6月8日电网检修公告（本周无检修计划）)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https://xxgk.zj.sgcc.com.cn/xxgk-web/#/articleDetails?msgCategoryId=news0000002039&amp;areaId=3340540&amp;recordId=news0000296328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(2025年5月26日-6月1日电网检修公告（计划检修）)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https://xxgk.zj.sgcc.com.cn/xxgk-web/#/articleDetails?msgCategoryId=news0000002039&amp;areaId=3340540&amp;recordId=news0000296195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(2025年5月19日-5月25日电网检修公告（计划检修）)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https://xxgk.zj.sgcc.com.cn/xxgk-web/#/articleDetails?msgCategoryId=news0000002039&amp;areaId=3340540&amp;recordId=news0000293780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(2025年5月12日-5月18日电网检修公告（本周无检修计划）)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https://xxgk.zj.sgcc.com.cn/xxgk-web/#/articleDetails?msgCategoryId=news0000002039&amp;areaId=3340540&amp;recordId=news0000293373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(2025年5月5日-5月11日电网检修公告（本周无检修计划）)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https://xxgk.zj.sgcc.com.cn/xxgk-web/#/articleDetails?msgCategoryId=news0000002039&amp;areaId=3340540&amp;recordId=news0000292253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(2025年4月28日-5月4日电网检修公告)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https://xxgk.zj.sgcc.com.cn/xxgk-web/#/articleDetails?msgCategoryId=news0000002039&amp;areaId=3340540&amp;recordId=news0000291956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(2025年4月21日-4月27日电网检修公告)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https://xxgk.zj.sgcc.com.cn/xxgk-web/#/articleDetails?msgCategoryId=news0000002039&amp;areaId=3340540&amp;recordId=news0000290152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(2025年4月14日-4月20日电网检修公告（本周无检修计划）)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https://xxgk.zj.sgcc.com.cn/xxgk-web/#/articleDetails?msgCategoryId=news0000002039&amp;areaId=3340540&amp;recordId=news0000289318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(2025年4月7日-4月13日电网检修公告（本周无检修计划）)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https://xxgk.zj.sgcc.com.cn/xxgk-web/#/articleDetails?msgCategoryId=news0000002039&amp;areaId=3340540&amp;recordId=news0000289072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(2025年3月31日-4月6日电网检修公告)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https://xxgk.zj.sgcc.com.cn/xxgk-web/#/articleDetails?msgCategoryId=news0000002039&amp;areaId=3340540&amp;recordId=news0000288498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(2025年3月24日-3月30日电网检修公告（本周无检修计划）)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https://xxgk.zj.sgcc.com.cn/xxgk-web/#/articleDetails?msgCategoryId=news0000002039&amp;areaId=3340540&amp;recordId=news0000288325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(2025年3月17日-3月23日电网检修公告)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https://xxgk.zj.sgcc.com.cn/xxgk-web/#/articleDetails?msgCategoryId=news0000002039&amp;areaId=3340540&amp;recordId=news0000287722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(2025年3月10日-3月16日电网检修公告（本周无检修计划）)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https://xxgk.zj.sgcc.com.cn/xxgk-web/#/articleDetails?msgCategoryId=news0000002039&amp;areaId=3340540&amp;recordId=news0000287304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(2025年3月3日-3月9日电网检修公告（本周无检修计划）)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https://xxgk.zj.sgcc.com.cn/xxgk-web/#/articleDetails?msgCategoryId=news0000002039&amp;areaId=3340540&amp;recordId=news0000286835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(2025年2月24日-3月2日电网检修公告（本周无检修计划）)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https://xxgk.zj.sgcc.com.cn/xxgk-web/#/articleDetails?msgCategoryId=news0000002039&amp;areaId=3340540&amp;recordId=news0000286652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(2025年2月17日-2月23日电网检修公告（本周无检修计划）)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(2025年2月10日-2月16日电网检修公告（本周无检修计划）)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2025-01-24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(2025年2月3日-2月9日电网检修公告（本周无检修计划）)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(2025年1月27日-2月2日电网检修公告（本周无检修计划）)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(2025年1月20日-1月26日电网检修公告（本周无检修计划）)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https://xxgk.zj.sgcc.com.cn/xxgk-web/#/articleDetails?msgCategoryId=news0000002039&amp;areaId=3340540&amp;recordId=news0000283945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(2025年1月13日-1月19日电网检修公告)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https://xxgk.zj.sgcc.com.cn/xxgk-web/#/articleDetails?msgCategoryId=news0000002039&amp;areaId=3340540&amp;recordId=news0000283284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(2025年1月6日-1月12日电网检修公告)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https://xxgk.zj.sgcc.com.cn/xxgk-web/#/articleDetails?msgCategoryId=news0000002039&amp;areaId=3340540&amp;recordId=news0000282457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(2024年12月30日-1月5日电网检修公告(本周无检修计划）)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https://xxgk.zj.sgcc.com.cn/xxgk-web/#/articleDetails?msgCategoryId=news0000002039&amp;areaId=3340540&amp;recordId=news0000282303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(2024年12月23日-12月29日电网检修公告)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https://xxgk.zj.sgcc.com.cn/xxgk-web/#/articleDetails?msgCategoryId=news0000002039&amp;areaId=3340540&amp;recordId=news0000282116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(2024年12月16日-12月22日电网检修公告)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https://xxgk.zj.sgcc.com.cn/xxgk-web/#/articleDetails?msgCategoryId=news0000002039&amp;areaId=3340540&amp;recordId=news0000281958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(2024年12月9日-12月15日电网检修公告)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https://xxgk.zj.sgcc.com.cn/xxgk-web/#/articleDetails?msgCategoryId=news0000002039&amp;areaId=3340540&amp;recordId=news0000281608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(2024年12月2日-12月8日电网检修公告)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https://xxgk.zj.sgcc.com.cn/xxgk-web/#/articleDetails?msgCategoryId=news0000002039&amp;areaId=3340540&amp;recordId=news0000280652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(2024年11月25日-12月1日电网检修公告)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https://xxgk.zj.sgcc.com.cn/xxgk-web/#/articleDetails?msgCategoryId=news0000002039&amp;areaId=3340540&amp;recordId=news0000279657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(关于做好2024年慈溪市有序用电及电力需求侧管理工作的通知（慈三电办〔2024〕3号）)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https://xxgk.zj.sgcc.com.cn/xxgk-web/#/articleDetails?msgCategoryId=news0000002039&amp;areaId=3340540&amp;recordId=news0000279877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(2024年11月18日-11月24日电网检修公告)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https://xxgk.zj.sgcc.com.cn/xxgk-web/#/articleDetails?msgCategoryId=news0000002039&amp;areaId=3340540&amp;recordId=news0000279242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(2024年11月11日-11月17日电网检修公告)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https://xxgk.zj.sgcc.com.cn/xxgk-web/#/articleDetails?msgCategoryId=news0000002039&amp;areaId=3340540&amp;recordId=news0000278461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(2024年11月4日-11月10日电网检修公告)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2024-10-18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https://xxgk.zj.sgcc.com.cn/xxgk-web/#/articleDetails?msgCategoryId=news0000002039&amp;areaId=3340540&amp;recordId=news0000277460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(2024年10月28日-11月3日电网检修公告)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https://xxgk.zj.sgcc.com.cn/xxgk-web/#/articleDetails?msgCategoryId=news0000002039&amp;areaId=3340540&amp;recordId=news0000277073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(2024年10月21日-10月27日电网检修公告)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https://xxgk.zj.sgcc.com.cn/xxgk-web/#/articleDetails?msgCategoryId=news0000002039&amp;areaId=3340540&amp;recordId=news0000276772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(2024年10月14日-10月20日电网检修公告)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https://xxgk.zj.sgcc.com.cn/xxgk-web/#/articleDetails?msgCategoryId=news0000002039&amp;areaId=3340540&amp;recordId=news0000275251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(2024年10月7日-10月13日电网检修公告)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https://xxgk.zj.sgcc.com.cn/xxgk-web/#/articleDetails?msgCategoryId=news0000002039&amp;areaId=3340540&amp;recordId=news0000280654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(2024年9月30日-10月6日电网检修公告(本周无检修计划）)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https://xxgk.zj.sgcc.com.cn/xxgk-web/#/articleDetails?msgCategoryId=news0000002039&amp;areaId=3340540&amp;recordId=news0000274193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(2024年9月23日-9月29日电网检修公告)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https://xxgk.zj.sgcc.com.cn/xxgk-web/#/articleDetails?msgCategoryId=news0000002039&amp;areaId=3340540&amp;recordId=news0000273861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(2024年9月16日-9月22日电网检修公告)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https://xxgk.zj.sgcc.com.cn/xxgk-web/#/articleDetails?msgCategoryId=news0000002039&amp;areaId=3340540&amp;recordId=news0000272855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(2024年9月9日-9月15日电网检修公告)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2024-08-23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https://xxgk.zj.sgcc.com.cn/xxgk-web/#/articleDetails?msgCategoryId=news0000002039&amp;areaId=3340540&amp;recordId=news0000270350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(2024年9月2日-9月8日电网检修公告（本周无检修计划）)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https://xxgk.zj.sgcc.com.cn/xxgk-web/#/articleDetails?msgCategoryId=news0000002039&amp;areaId=3340540&amp;recordId=news0000269443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(2024年8月26日-9月1日电网检修公告)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https://xxgk.zj.sgcc.com.cn/xxgk-web/#/articleDetails?msgCategoryId=news0000002039&amp;areaId=3340540&amp;recordId=news0000267845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(2024年8月19日-8月25日电网检修公告)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https://xxgk.zj.sgcc.com.cn/xxgk-web/#/articleDetails?msgCategoryId=news0000002039&amp;areaId=3340540&amp;recordId=news0000266463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(2024年8月12日-8月18日电网检修公告)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https://xxgk.zj.sgcc.com.cn/xxgk-web/#/articleDetails?msgCategoryId=news0000002039&amp;areaId=3340540&amp;recordId=news0000265624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(2024年8月5日-8月11日电网检修公告（本周无检修计划）)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https://xxgk.zj.sgcc.com.cn/xxgk-web/#/articleDetails?msgCategoryId=news0000002039&amp;areaId=3340540&amp;recordId=news0000259710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(2024年7月29日-8月4日电网检修公告)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https://xxgk.zj.sgcc.com.cn/xxgk-web/#/articleDetails?msgCategoryId=news0000002039&amp;areaId=3340540&amp;recordId=news0000253751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(2024年7月22日-7月28日电网检修公告)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https://xxgk.zj.sgcc.com.cn/xxgk-web/#/articleDetails?msgCategoryId=news0000002039&amp;areaId=3340540&amp;recordId=news0000244553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(2024年7月15日-7月21日电网检修公告（本周无检修计划）)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https://xxgk.zj.sgcc.com.cn/xxgk-web/#/articleDetails?msgCategoryId=news0000002039&amp;areaId=3340540&amp;recordId=news0000241028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(关于做好2024年慈溪市有序用电及电力需求侧管理工作的通知)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https://xxgk.zj.sgcc.com.cn/xxgk-web/#/articleDetails?msgCategoryId=news0000002039&amp;areaId=3340540&amp;recordId=news0000238112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(2024年7月8日-7月14日电网检修公告)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(2024年7月1日-7月7日电网检修公告（本周无检修计划）)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(2024年6月24日-6月30日电网检修公告)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(2024年6月17日-6月23日电网检修公告)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(2024年6月10日-6月16日电网检修公告)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2024-05-24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(2024年6月3日-6月9日电网检修公告)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(2024年5月27日-6月2日电网检修公告)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(2024年5月20日-5月26日电网检修公告)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(2024年5月13日-5月19日电网检修公告)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(2024年5月6日-5月12日电网检修公告)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(2024年4月29日-5月5日电网检修公告（本周无检修计划）)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(2024年4月22日-4月28日电网检修公告)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(2024年4月15日-4月21日电网检修公告（本周无检修计划）)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(2024年4月8日-4月14日电网检修公告（本周无检修计划）)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(2024年4月1日-4月7日电网检修公告)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(2024年3月25日-3月31日电网检修公告（本周无检修计划）)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(2024年3月18日-3月24日电网检修公告（本周无检修计划）)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(2024年3月11日-3月17日电网检修公告（本周无检修计划）)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2024-02-23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(2024年3月4日-3月10日电网检修公告（本周无检修计划）)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(2024年2月26日-3月3日电网检修公告（本周无检修计划）)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(2024年2月19日-2月25日电网检修公告（本周无检修计划）)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(2024年2月12日-2月18日电网检修公告（本周无检修计划）)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(2024年2月5日-2月11日电网检修公告（本周无检修计划）)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(2024年1月29日-2月4日电网检修公告（本周无检修计划）)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(2024年1月22日-1月28日电网检修公告)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(2024年1月15日-1月21日电网检修公告（本周无检修计划）)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https://xxgk.zj.sgcc.com.cn/xxgk-web/#/articleDetails?msgCategoryId=news0000002039&amp;areaId=3340540&amp;recordId=news0000237864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(2024年1月8日-1月14日电网检修公告)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(2024年1月1日-1月7日电网抢修公告（本周无检修计划）)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https://xxgk.zj.sgcc.com.cn/xxgk-web/#/articleDetails?msgCategoryId=news0000002039&amp;areaId=3340540&amp;recordId=news0000032092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(关于做好2023年慈溪市有序用电及电力需求侧管理工作的通知)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https://xxgk.zj.sgcc.com.cn/xxgk-web/#/articleDetails?msgCategoryId=news0000002039&amp;areaId=3340540&amp;recordId=news0000017603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(关于修订《2022年慈溪市迎峰度夏有序用电及需求响应工作方案》的通知)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https://xxgk.zj.sgcc.com.cn/xxgk-web/#/articleDetails?msgCategoryId=news0000002039&amp;areaId=3340540&amp;recordId=news0000041650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(关于修订《2021年慈溪市迎峰度夏有序用电及需求响应工作方案》的通知)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kern w:val="0"/>
                <w:sz w:val="24"/>
                <w:szCs w:val="24"/>
                <w:lang w:val="en-US" w:eastAsia="zh-CN" w:bidi="ar"/>
              </w:rPr>
              <w:t>https://www.95598.cn/osgweb/blackoutNotice</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(电网检修信息查询)</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6</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供电服务所执行的法律法规以及供电企业制定的涉及用户利益的管理制度和技术标准</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该栏目网址：https://xxgk.zj.sgcc.com.cn/xxgk-web/#/HomepageDetails?msgCategoryId=news0000000694&amp;areaId=3340540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https://xxgk.zj.sgcc.com.cn/xxgk-web/#/articleDetails?msgCategoryId=news0000000694&amp;areaId=3340540&amp;recordId=news0000314514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(浙发改能源〔2025〕268 号 省发展改革委 省能源局 浙江能源监管办关于做好2026年度浙江省电力市场化交易相关工作的通知)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https://xxgk.zj.sgcc.com.cn/xxgk-web/#/articleDetails?msgCategoryId=news0000000694&amp;areaId=3340540&amp;recordId=news0000314434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(浙发改能源〔2025〕273 号 省发展改革委 省能源局 浙江能源监管办关于印发《2026年浙江电力现货市场运行方案》的通知)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https://xxgk.zj.sgcc.com.cn/xxgk-web/#/articleDetails?msgCategoryId=news0000000694&amp;areaId=3340540&amp;recordId=news0000314354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(浙发改能源〔2025〕274 号 省发展改革委 省能源局 浙江能源监管办关于印发《2026年浙江省电力市场化交易方案》的通知)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https://xxgk.zj.sgcc.com.cn/xxgk-web/#/articleDetails?msgCategoryId=news0000000694&amp;areaId=3340540&amp;recordId=news0000312673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(浙发改能源〔2025〕258号省发展改革委关于开展2025年新能源增量项目机制电价第1次竞价工作的通知)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https://xxgk.zj.sgcc.com.cn/xxgk-web/#/articleDetails?msgCategoryId=news0000000694&amp;areaId=3340540&amp;recordId=news0000311056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(关于明确分布式光伏、用户侧储能项目并网服务工作要求的通知（盖章）)</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https://xxgk.zj.sgcc.com.cn/xxgk-web/#/articleDetails?msgCategoryId=news0000000694&amp;areaId=3340540&amp;recordId=news0000309609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(浙发改能源〔2025〕250 号 省发展改革委 省能源局关于印发《浙江省新能源上网电价市场化改革实施方案》及配套细则的通知)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https://xxgk.zj.sgcc.com.cn/xxgk-web/#/articleDetails?msgCategoryId=news0000000694&amp;areaId=3340540&amp;recordId=news0000293809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(国网浙江省电力有限公司电源接入和电网互联前期工作管理实施细则（2025年9月版）)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https://xxgk.zj.sgcc.com.cn/xxgk-web/#/articleDetails?msgCategoryId=news0000000694&amp;areaId=3340540&amp;recordId=news0000297390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(《关于深化提升“获得电力”服务水平全面打造现代化用电营商环境的意见》（发改能源规〔2025〕624号）)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https://xxgk.zj.sgcc.com.cn/xxgk-web/#/articleDetails?msgCategoryId=news0000000694&amp;areaId=3340540&amp;recordId=news0000304135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(《承装（修、试）电力设施许可证管理办法》2025年第30号令)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https://xxgk.zj.sgcc.com.cn/xxgk-web/#/articleDetails?msgCategoryId=news0000000694&amp;areaId=3340540&amp;recordId=news0000291874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(中华人民共和国可再生能源法)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https://xxgk.zj.sgcc.com.cn/xxgk-web/#/articleDetails?msgCategoryId=news0000000694&amp;areaId=3340540&amp;recordId=news0000291794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(国能发新能规〔2025〕7 号 国家能源局关于印发《分布式光伏发电开发建设管理办法》的通知)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https://xxgk.zj.sgcc.com.cn/xxgk-web/#/articleDetails?msgCategoryId=news0000000694&amp;areaId=3340540&amp;recordId=news0000291714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(国能发科技规〔2024〕26 号 国家能源局关于促进新型储能并网和调度运用的通知)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https://xxgk.zj.sgcc.com.cn/xxgk-web/#/articleDetails?msgCategoryId=news0000000694&amp;areaId=3340540&amp;recordId=news0000291634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(国能发监管规〔2021〕49 号 国家能源局关于印发《电网公平开放监管办法》的通知)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https://xxgk.zj.sgcc.com.cn/xxgk-web/#/articleDetails?msgCategoryId=news0000000694&amp;areaId=3340540&amp;recordId=news0000291554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(国能发法改〔2024〕93 号 国家能源局关于支持电力领域新型经营主体创新发展的指导意见)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https://xxgk.zj.sgcc.com.cn/xxgk-web/#/articleDetails?msgCategoryId=news0000000694&amp;areaId=3340540&amp;recordId=news0000291474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(国能发电力〔2024〕44 号 国家能源局关于做好新能源消纳工作 保障新能源高质量发展的通知)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https://xxgk.zj.sgcc.com.cn/xxgk-web/#/articleDetails?msgCategoryId=news0000000694&amp;areaId=3340540&amp;recordId=news0000291394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(国办函〔2022〕39 号 国务院办公厅转发国家发展改革委 国家能源局关于促进新时代新能源高质量发展实施方案的通知)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https://xxgk.zj.sgcc.com.cn/xxgk-web/#/articleDetails?msgCategoryId=news0000000694&amp;areaId=3340540&amp;recordId=news0000291234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(发改经体〔2019〕27 号 国家发展改革委 国家能源局关于进一步推进增量配电业务改革的通知)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https://xxgk.zj.sgcc.com.cn/xxgk-web/#/articleDetails?msgCategoryId=news0000000694&amp;areaId=3340540&amp;recordId=news0000291154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(发改办运行〔2021〕445 号 国家发展改革委办公厅 国家能源局综合司关于做好新能源配套送出工程投资建设有关事项的通知)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https://xxgk.zj.sgcc.com.cn/xxgk-web/#/articleDetails?msgCategoryId=news0000000694&amp;areaId=3340540&amp;recordId=news0000291074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(《全额保障性收购可再生能源电量监管办法》（ 国家发展和改革委员会令 第15号）)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https://xxgk.zj.sgcc.com.cn/xxgk-web/#/articleDetails?msgCategoryId=news0000000694&amp;areaId=3340540&amp;recordId=news0000290828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(发改价格〔2025〕136号 国家发展改革委 国家能源局 关于深化新能源上网电价市场化改革 促进新能源高质量发展的通知)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https://xxgk.zj.sgcc.com.cn/xxgk-web/#/articleDetails?msgCategoryId=news0000000694&amp;areaId=3340540&amp;recordId=news0000279537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(中华人民共和国能源法)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https://xxgk.zj.sgcc.com.cn/xxgk-web/#/articleDetails?msgCategoryId=news0000000694&amp;areaId=3340540&amp;recordId=news0000284267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(国能发监管规〔2024〕87号国家能源局关于印发《12398能源监管热线举报处理办法》的通知)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https://xxgk.zj.sgcc.com.cn/xxgk-web/#/articleDetails?msgCategoryId=news0000000694&amp;areaId=3340540&amp;recordId=news0000280175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(国能发监管规〔2024〕86号 国家能源局关于印发《12398能源监管热线投诉处理办法》的通知)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https://xxgk.zj.sgcc.com.cn/xxgk-web/#/articleDetails?msgCategoryId=news0000000694&amp;areaId=3340540&amp;recordId=news0000277388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(浙江省住宅小区供配电工程技术标准)</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https://xxgk.zj.sgcc.com.cn/xxgk-web/#/articleDetails?msgCategoryId=news0000000694&amp;areaId=3340540&amp;recordId=news0000291314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(发改能源规〔2021〕1051 号 国家发展改革委 国家能源局关于加快推动新型储能发展的指导意见)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https://xxgk.zj.sgcc.com.cn/xxgk-web/#/articleDetails?msgCategoryId=news0000000694&amp;areaId=3340540&amp;recordId=news0000250985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(《电力市场运行基本规则》2024年第20号令)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https://xxgk.zj.sgcc.com.cn/xxgk-web/#/articleDetails?msgCategoryId=news0000000694&amp;areaId=3340540&amp;recordId=news0000250658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(《电力市场监管办法》 2024年第18号令)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https://xxgk.zj.sgcc.com.cn/xxgk-web/#/articleDetails?msgCategoryId=news0000000694&amp;areaId=3340540&amp;recordId=news0000249028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(《供电营业规则》)</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https://xxgk.zj.sgcc.com.cn/xxgk-web/#/articleDetails?msgCategoryId=news0000000694&amp;areaId=3340540&amp;recordId=news0000265545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(浙江省优化营商环境条例)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2023-11-10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https://xxgk.zj.sgcc.com.cn/xxgk-web/#/articleDetails?msgCategoryId=news0000000694&amp;areaId=3340540&amp;recordId=news0000270494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(发改价格〔2023〕1501号 国家发展改革委 国家能源局关于建立煤电容量电价机制的通知)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https://xxgk.zj.sgcc.com.cn/xxgk-web/#/articleDetails?msgCategoryId=news0000000694&amp;areaId=3340540&amp;recordId=news0000255107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 〔2023〕526号国家发展改革委关于第三监管周期省级电网输配电价及有关事项的通知)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2022-10-06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https://xxgk.zj.sgcc.com.cn/xxgk-web/#/articleDetails?msgCategoryId=news0000000694&amp;areaId=3340540&amp;recordId=news0000277803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(中华人民共和国民法典)</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2022-09-30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https://xxgk.zj.sgcc.com.cn/xxgk-web/#/articleDetails?msgCategoryId=news0000000694&amp;areaId=3340540&amp;recordId=news0000249838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(《浙江省电力条例》)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https://xxgk.zj.sgcc.com.cn/xxgk-web/#/articleDetails?msgCategoryId=news0000000694&amp;areaId=3340540&amp;recordId=news0000250823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(国家电网公司供电服务标准)</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https://xxgk.zj.sgcc.com.cn/xxgk-web/#/articleDetails?msgCategoryId=news0000000694&amp;areaId=3340540&amp;recordId=news0000255563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(国办函 〔2020〕129号 国家发展改革委等部门关于清理规范城镇供水供电供气供暖行业收费促进行业高质量发展意见的通知）)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https://xxgk.zj.sgcc.com.cn/xxgk-web/#/articleDetails?msgCategoryId=news0000000694&amp;areaId=3340540&amp;recordId=news0000255482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(发改办价格 〔2021〕809号 国家发展改革委办公厅关于组织开展电网企业代理购电工作有关事项的通知)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https://xxgk.zj.sgcc.com.cn/xxgk-web/#/articleDetails?msgCategoryId=news0000000694&amp;areaId=3340540&amp;recordId=news0000255401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 〔2021〕1439号文 国家发展改革委关于进一步深化燃煤发电上网电价市场化改革的通知)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https://xxgk.zj.sgcc.com.cn/xxgk-web/#/articleDetails?msgCategoryId=news0000000694&amp;areaId=3340540&amp;recordId=news0000250904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(国家电网公司计量标准管理办法)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https://xxgk.zj.sgcc.com.cn/xxgk-web/#/articleDetails?msgCategoryId=news0000000694&amp;areaId=3340540&amp;recordId=news0000250742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(国家电网公司有序用电管理办法)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https://xxgk.zj.sgcc.com.cn/xxgk-web/#/articleDetails?msgCategoryId=news0000000694&amp;areaId=3340540&amp;recordId=news0000271550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(国家电网公司调度交易服务“十项措施”)</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https://xxgk.zj.sgcc.com.cn/xxgk-web/#/articleDetails?msgCategoryId=news0000000694&amp;areaId=3340540&amp;recordId=news0000271635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(重点用能单位节能管理办法)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https://xxgk.zj.sgcc.com.cn/xxgk-web/#/articleDetails?msgCategoryId=news0000000694&amp;areaId=3340540&amp;recordId=news0000250000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(电力行业标准化管理办法)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https://xxgk.zj.sgcc.com.cn/xxgk-web/#/articleDetails?msgCategoryId=news0000000694&amp;areaId=3340540&amp;recordId=news0000250577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(国能发监管〔2020〕65号 国家能源局用户受电工程“三指定”行为认定指引及政策解读)</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https://xxgk.zj.sgcc.com.cn/xxgk-web/#/articleDetails?msgCategoryId=news0000000694&amp;areaId=3340540&amp;recordId=news0000249757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(中华人民共和国电力法)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https://xxgk.zj.sgcc.com.cn/xxgk-web/#/articleDetails?msgCategoryId=news0000000694&amp;areaId=3340540&amp;recordId=news0000249676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(供电企业信息公开实施办法)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https://xxgk.zj.sgcc.com.cn/xxgk-web/#/articleDetails?msgCategoryId=news0000000694&amp;areaId=3340540&amp;recordId=news0000249595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(中华人民共和国节约能源法)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https://xxgk.zj.sgcc.com.cn/xxgk-web/#/articleDetails?msgCategoryId=news0000000694&amp;areaId=3340540&amp;recordId=news0000249514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(电力设施保护条例)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https://xxgk.zj.sgcc.com.cn/xxgk-web/#/articleDetails?msgCategoryId=news0000000694&amp;areaId=3340540&amp;recordId=news0000249433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(中华人民共和国电力供应与使用条例)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https://xxgk.zj.sgcc.com.cn/xxgk-web/#/articleDetails?msgCategoryId=news0000000694&amp;areaId=3340540&amp;recordId=news0000249352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(供电监管办法（电监会 27 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https://xxgk.zj.sgcc.com.cn/xxgk-web/#/articleDetails?msgCategoryId=news0000000694&amp;areaId=3340540&amp;recordId=news0000249919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(电力监管条例)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https://xxgk.zj.sgcc.com.cn/xxgk-web/#/articleDetails?msgCategoryId=news0000000694&amp;areaId=3340540&amp;recordId=news0000294736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(《优化营商环境条例》 国务院令第722号)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https://xxgk.zj.sgcc.com.cn/xxgk-web/#/articleDetails?msgCategoryId=news0000000694&amp;areaId=3340540&amp;recordId=news0000294656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(（83）水电财字第 215 号 水利电力部、国家物价局关于颁发《功率因数调整电费办法》的通知)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https://xxgk.zj.sgcc.com.cn/xxgk-web/#/articleDetails?msgCategoryId=news0000000694&amp;areaId=3340540&amp;recordId=news0000294142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(国能发监管〔2020〕56号 《电力现货市场信息披露办法（暂行）》)</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7</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供电服务承诺及服务、监管热线</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该栏目网址：https://xxgk.zj.sgcc.com.cn/xxgk-web/#/HomepageDetails?msgCategoryId=news0000000696&amp;areaId=3340540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国家能源局12398能源监管热线投诉举报处理情况通报（2025年12月）</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https://xxgk.zj.sgcc.com.cn/xxgk-web/#/articleDetails?msgCategoryId=news0000000696&amp;areaId=3340540&amp;recordId=news0000319336</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(国家能源局12398能源监管热线投诉举报处理情况通报（2025年12月）)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https://xxgk.zj.sgcc.com.cn/xxgk-web/#/articleDetails?msgCategoryId=news0000000696&amp;areaId=3340540&amp;recordId=news0000315329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(国家能源局12398能源监管热线投诉举报处理情况通报（2025年11月）)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https://xxgk.zj.sgcc.com.cn/xxgk-web/#/articleDetails?msgCategoryId=news0000000696&amp;areaId=3340540&amp;recordId=news0000311664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(国家能源局12398能源监管热线投诉举报处理情况通报(2025年10月))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https://xxgk.zj.sgcc.com.cn/xxgk-web/#/articleDetails?msgCategoryId=news0000000696&amp;areaId=3340540&amp;recordId=news0000308506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(国家能源局12398能源监管热线投诉举报处理情况及典型案例通报(2025年9月))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https://xxgk.zj.sgcc.com.cn/xxgk-web/#/articleDetails?msgCategoryId=news0000000696&amp;areaId=3340540&amp;recordId=news0000308138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(国家能源局12398能源监管热线投诉举报处理情况通报（2025年8月）)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https://xxgk.zj.sgcc.com.cn/xxgk-web/#/articleDetails?msgCategoryId=news0000000696&amp;areaId=3340540&amp;recordId=news0000286409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(12398能源监管热线举报办事指南指引)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https://xxgk.zj.sgcc.com.cn/xxgk-web/#/articleDetails?msgCategoryId=news0000000696&amp;areaId=3340540&amp;recordId=news0000286329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(12398能源监管热线投诉办事指南指引)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https://xxgk.zj.sgcc.com.cn/xxgk-web/#/articleDetails?msgCategoryId=news0000000696&amp;areaId=3340540&amp;recordId=news0000285918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(12398能源监管热线投诉办事指南)</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https://xxgk.zj.sgcc.com.cn/xxgk-web/#/articleDetails?msgCategoryId=news0000000696&amp;areaId=3340540&amp;recordId=news0000285836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(12398能源监管热线举报办事指南)</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kern w:val="0"/>
                <w:sz w:val="24"/>
                <w:szCs w:val="24"/>
                <w:lang w:val="en-US" w:eastAsia="zh-CN" w:bidi="ar"/>
              </w:rPr>
              <w:t>https://www.nea.gov.cn/ztzl/12398nyjgrx/qktb.htm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(国家能源局、国家能源局浙江监管办公室网站及国家能源局12398能源监管热线投诉举报事项处理情况通报)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kern w:val="0"/>
                <w:sz w:val="24"/>
                <w:szCs w:val="24"/>
                <w:lang w:val="en-US" w:eastAsia="zh-CN" w:bidi="ar"/>
              </w:rPr>
              <w:t>https://xxgk.zj.sgcc.com.cn/xxgk-web/#/articleDetails?msgCategoryId=news0000000696&amp;areaId=3340540&amp;recordId=news0000274867</w:t>
            </w:r>
            <w:bookmarkStart w:id="0" w:name="_GoBack"/>
            <w:bookmarkEnd w:id="0"/>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(国家电网有限公司员工服务“十个不准”)</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https://xxgk.zj.sgcc.com.cn/xxgk-web/#/articleDetails?msgCategoryId=news0000000696&amp;areaId=3340540&amp;recordId=news0000274544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(国家电网公司供电服务投诉及举报电话、国家能源局浙江监管办公室12398能源监管热线)</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https://xxgk.zj.sgcc.com.cn/xxgk-web/#/articleDetails?msgCategoryId=news0000000696&amp;areaId=3340540&amp;recordId=news0000274787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(国家电网有限公司供电服务“十项承诺”)</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8</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用户受电工程市场公平开放相关信息</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该栏目网址：https://xxgk.zj.sgcc.com.cn/xxgk-web/#/HomepageDetails?msgCategoryId=news0000000697&amp;areaId=3340540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https://xxgk.zj.sgcc.com.cn/xxgk-web/#/articleDetails?msgCategoryId=news0000000697&amp;areaId=3340540&amp;recordId=news0000292368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(关于用户受电工程建设有关事项的提示)</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https://xxgk.zj.sgcc.com.cn/xxgk-web/#/articleDetails?msgCategoryId=news0000000697&amp;areaId=3340540&amp;recordId=news0000288200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(浙江能源监管办关于应用《关于输电线路改迁工程建设有关事项的提示》的函)</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https://xxgk.zj.sgcc.com.cn/xxgk-web/#/articleDetails?msgCategoryId=news0000000697&amp;areaId=3340540&amp;recordId=news0000288118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(输电线路改迁工程流程指引)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https://xxgk.zj.sgcc.com.cn/xxgk-web/#/articleDetails?msgCategoryId=news0000000697&amp;areaId=3340540&amp;recordId=news0000273731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(800kVA油浸式变压器（10kV及以下变电站典型设计）)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https://xxgk.zj.sgcc.com.cn/xxgk-web/#/articleDetails?msgCategoryId=news0000000697&amp;areaId=3340540&amp;recordId=news0000273651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(630kVA欧式箱变（10kV及以下箱式变电站典型设计）)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https://xxgk.zj.sgcc.com.cn/xxgk-web/#/articleDetails?msgCategoryId=news0000000697&amp;areaId=3340540&amp;recordId=news0000273571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(400kVA欧式箱变（10kV及以下箱式变电站典型设计）)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https://xxgk.zj.sgcc.com.cn/xxgk-web/#/articleDetails?msgCategoryId=news0000000697&amp;areaId=3340540&amp;recordId=news0000273491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(2X800kVA高压两路双母线低压联络（10kV及以下变电站典型设计）)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https://xxgk.zj.sgcc.com.cn/xxgk-web/#/articleDetails?msgCategoryId=news0000000697&amp;areaId=3340540&amp;recordId=news0000273411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(2X400kVA高压两路单母分断低压不联络（10kV及以下变电站典型设计）)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https://xxgk.zj.sgcc.com.cn/xxgk-web/#/articleDetails?msgCategoryId=news0000000697&amp;areaId=3340540&amp;recordId=news0000271818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(国能发监管〔2020〕65号 国家能源局用户受电工程“三指定”行为认定指引)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https://xxgk.zj.sgcc.com.cn/xxgk-web/#/articleDetails?msgCategoryId=news0000000697&amp;areaId=3340540&amp;recordId=news0000295037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(浙江省电力用户受电工程中间检查和竣工检验规范)</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https://xxgk.zj.sgcc.com.cn/xxgk-web/#/articleDetails?msgCategoryId=news0000000697&amp;areaId=3340540&amp;recordId=news0000252287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(新建住宅小区统一营业表式)</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https://xxgk.zj.sgcc.com.cn/xxgk-web/#/articleDetails?msgCategoryId=news0000000697&amp;areaId=3340540&amp;recordId=news0000251880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(浙监能市场函〔2017〕4号 国家能源局浙江监管办公室关于转发《压缩用电报装时间实施方案的通知》（2017年6月11日）)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https://xxgk.zj.sgcc.com.cn/xxgk-web/#/articleDetails?msgCategoryId=news0000000697&amp;areaId=3340540&amp;recordId=news0000271986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(用户受电工程三指定行为认定指引公示摘录)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https://xxgk.zj.sgcc.com.cn/xxgk-web/#/articleDetails?msgCategoryId=news0000000697&amp;areaId=3340540&amp;recordId=news0000264896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(浙监能稽查〔2014〕11号《关于进一步规范用户接电工作的意见》)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https://xxgk.zj.sgcc.com.cn/xxgk-web/#/articleDetails?msgCategoryId=news0000000697&amp;areaId=3340540&amp;recordId=news0000274624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(浙监能便函〔2021〕97号 浙江能源监管办关于修订《关于用户受电工程建设有关事项的提示》的通知)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https://xxgk.zj.sgcc.com.cn/xxgk-web/#/articleDetails?msgCategoryId=news0000000697&amp;areaId=3340540&amp;recordId=news0000252042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(浙监能市场〔2021〕6号 浙江能源监管办关于取消新建住宅小区电力设备和主要材料参考目录的通知.)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https://xxgk.zj.sgcc.com.cn/xxgk-web/#/articleDetails?msgCategoryId=news0000000697&amp;areaId=3340540&amp;recordId=news0000251961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(浙监能市场〔2020〕14号 关于进一步明确新建住宅小区受电工程建设有关问题的通知)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https://xxgk.zj.sgcc.com.cn/xxgk-web/#/articleDetails?msgCategoryId=news0000000697&amp;areaId=3340540&amp;recordId=news0000251718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(国能监管〔2013〕408号 国家能源局关于进一步规范用户受电工程市场的通知)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https://xxgk.zj.sgcc.com.cn/xxgk-web/#/articleDetails?msgCategoryId=news0000000697&amp;areaId=3340540&amp;recordId=news0000251799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(国能监管〔2017〕110号 压缩用电报装时间实施方案)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https://xxgk.zj.sgcc.com.cn/xxgk-web/#/articleDetails?msgCategoryId=news0000000697&amp;areaId=3340540&amp;recordId=news0000251637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(浙监能市场〔2020〕11号 浙江能源监管办关于印发《浙江省电力用户受电工程市场行为监管办法》等四项制度文件的通知)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https://xxgk.zj.sgcc.com.cn/xxgk-web/#/articleDetails?msgCategoryId=news0000000697&amp;areaId=3340540&amp;recordId=news0000294896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(竣工验收典型问题清单)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https://xxgk.zj.sgcc.com.cn/xxgk-web/#/articleDetails?msgCategoryId=news0000000697&amp;areaId=3340540&amp;recordId=news0000294816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(影响投运负面清单)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9</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可开放容量有关信息</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该栏目网址：https://xxgk.zj.sgcc.com.cn/xxgk-web/#/HomepageDetails?msgCategoryId=news0000000698&amp;areaId=3340540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慈溪地区光伏接入受限的10KV线路及台区公变清单（2026年一季度）</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https://xxgk.zj.sgcc.com.cn/xxgk-web/#/articleDetails?msgCategoryId=news0000000698&amp;areaId=3340540&amp;recordId=news0000318210</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(慈溪地区光伏接入受限的10KV线路及台区公变清单（2026年一季度）)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2026-01-04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本地区配电网接入能力和容量受限情况（2026年一季度）</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https://xxgk.zj.sgcc.com.cn/xxgk-web/#/articleDetails?msgCategoryId=news0000000698&amp;areaId=3340540&amp;recordId=news0000316624</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(本地区配电网接入能力和容量受限情况（2026年一季度）)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https://xxgk.zj.sgcc.com.cn/xxgk-web/#/articleDetails?msgCategoryId=news0000000698&amp;areaId=3340540&amp;recordId=news0000306936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(慈溪地区分布式光伏可接入容量、受限区域及排队项目（2025年四季度）)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https://xxgk.zj.sgcc.com.cn/xxgk-web/#/articleDetails?msgCategoryId=news0000000698&amp;areaId=3340540&amp;recordId=news0000306932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https://xxgk.zj.sgcc.com.cn/xxgk-web/#/articleDetails?msgCategoryId=news0000000698&amp;areaId=3340540&amp;recordId=news0000300453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(慈溪地区分布式光伏可接入容量、受限区域及排队项目（2025年三季度）)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https://xxgk.zj.sgcc.com.cn/xxgk-web/#/articleDetails?msgCategoryId=news0000000698&amp;areaId=3340540&amp;recordId=news0000299500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https://xxgk.zj.sgcc.com.cn/xxgk-web/#/articleDetails?msgCategoryId=news0000000698&amp;areaId=3340540&amp;recordId=news0000290615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https://xxgk.zj.sgcc.com.cn/xxgk-web/#/articleDetails?msgCategoryId=news0000000698&amp;areaId=3340540&amp;recordId=news0000290783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(慈溪地区分布式电源并网可开放容量情况（2025年二季度）)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https://xxgk.zj.sgcc.com.cn/xxgk-web/#/articleDetails?msgCategoryId=news0000000698&amp;areaId=3340540&amp;recordId=news0000284183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(慈溪地区分布式电源并网可开放容量情况（2025年一季度）)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https://xxgk.zj.sgcc.com.cn/xxgk-web/#/articleDetails?msgCategoryId=news0000000698&amp;areaId=3340540&amp;recordId=news0000283794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https://xxgk.zj.sgcc.com.cn/xxgk-web/#/articleDetails?msgCategoryId=news0000000698&amp;areaId=3340540&amp;recordId=news0000284181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(慈溪地区分布式电源并网可开放容量情况（2024年四季度）)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https://xxgk.zj.sgcc.com.cn/xxgk-web/#/articleDetails?msgCategoryId=news0000000698&amp;areaId=3340540&amp;recordId=news0000276441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https://xxgk.zj.sgcc.com.cn/xxgk-web/#/articleDetails?msgCategoryId=news0000000698&amp;areaId=3340540&amp;recordId=news0000270429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https://xxgk.zj.sgcc.com.cn/xxgk-web/#/articleDetails?msgCategoryId=news0000000698&amp;areaId=3340540&amp;recordId=news0000238300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https://xxgk.zj.sgcc.com.cn/xxgk-web/#/articleDetails?msgCategoryId=news0000000698&amp;areaId=3340540&amp;recordId=news165806130969448448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https://xxgk.zj.sgcc.com.cn/xxgk-web/#/articleDetails?msgCategoryId=news0000000698&amp;areaId=3340540&amp;recordId=news0000237797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2023-10-07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https://xxgk.zj.sgcc.com.cn/xxgk-web/#/articleDetails?msgCategoryId=news0000000698&amp;areaId=3340540&amp;recordId=news0000237795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2023-07-04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https://xxgk.zj.sgcc.com.cn/xxgk-web/#/articleDetails?msgCategoryId=news0000000698&amp;areaId=3340540&amp;recordId=news0000237793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2023-04-03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https://xxgk.zj.sgcc.com.cn/xxgk-web/#/articleDetails?msgCategoryId=news0000000698&amp;areaId=3340540&amp;recordId=news0000041309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https://xxgk.zj.sgcc.com.cn/xxgk-web/#/articleDetails?msgCategoryId=news0000000698&amp;areaId=3340540&amp;recordId=news0000041310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(本地区配电网接入能力和容量受限情况（2022年）)</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https://xxgk.zj.sgcc.com.cn/xxgk-web/#/articleDetails?msgCategoryId=news0000000698&amp;areaId=3340540&amp;recordId=news0000041311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(本地区配电网接入能力和容量受限情况（2021年）)</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10</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信息公开年报</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该栏目网址：https://xxgk.zj.sgcc.com.cn/xxgk-web/#/HomepageDetails?msgCategoryId=news0000000847&amp;areaId=3340540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https://xxgk.zj.sgcc.com.cn/xxgk-web/#/articleDetails?msgCategoryId=news0000000847&amp;areaId=3340540&amp;recordId=news0000287728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(国网慈溪市供电公司2024年信息公开年报)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https://xxgk.zj.sgcc.com.cn/xxgk-web/#/articleDetails?msgCategoryId=news0000000847&amp;areaId=3340540&amp;recordId=news155488212058640384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(国网慈溪市供电公司2023年信息公开年报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2023-03-02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https://xxgk.zj.sgcc.com.cn/xxgk-web/#/articleDetails?msgCategoryId=news0000000847&amp;areaId=3340540&amp;recordId=news0000024705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(国网慈溪市供电公司2022年信息公开年报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https://xxgk.zj.sgcc.com.cn/xxgk-web/#/articleDetails?msgCategoryId=news0000000847&amp;areaId=3340540&amp;recordId=news0000024704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(国网慈溪市供电公司2021年信息公开年报)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https://xxgk.zj.sgcc.com.cn/xxgk-web/#/articleDetails?msgCategoryId=news0000000847&amp;areaId=3340540&amp;recordId=news0000285599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(国网慈溪市供电公司2020年信息公开年报)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11</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信息公开指南</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该栏目网址：https://xxgk.zj.sgcc.com.cn/xxgk-web/#/HomepageDetails?msgCategoryId=news0000000848&amp;areaId=3340540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https://xxgk.zj.sgcc.com.cn/xxgk-web/#/articleDetails?msgCategoryId=news0000000848&amp;areaId=3340540&amp;recordId=news0000027799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(国网慈溪市供电公司信息公开指南)</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12</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信息公开目录</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该栏目网址：https://xxgk.zj.sgcc.com.cn/xxgk-web/#/HomepageDetails?msgCategoryId=news0000000849&amp;areaId=3340540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-0</w:t>
            </w:r>
            <w:r>
              <w:rPr>
                <w:rFonts w:hint="eastAsia" w:ascii="宋体" w:hAnsi="宋体" w:eastAsia="宋体" w:cs="宋体"/>
                <w:kern w:val="0"/>
                <w:sz w:val="24"/>
                <w:szCs w:val="24"/>
                <w:lang w:val="en-US" w:eastAsia="zh-CN" w:bidi="ar"/>
              </w:rPr>
              <w:t>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国网慈溪市供电公司信息公开目录</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https://xxgk.zj.sgcc.com.cn/xxgk-web/#/articleDetails?msgCategoryId=news0000000849&amp;areaId=3340540&amp;recordId=news0000297463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(国网慈溪市供电公司信息公开目录)</w:t>
            </w:r>
          </w:p>
        </w:tc>
      </w:tr>
    </w:tbl>
    <w:p/>
    <w:sectPr>
      <w:headerReference r:id="rId3" w:type="default"/>
      <w:footerReference r:id="rId4" w:type="default"/>
      <w:pgSz w:w="15840" w:h="12240" w:orient="landscape"/>
      <w:pgMar w:top="1440" w:right="1440" w:bottom="1440" w:left="1440" w:header="720" w:footer="72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6B"/>
    <w:rsid w:val="000C7600"/>
    <w:rsid w:val="00431D8D"/>
    <w:rsid w:val="005F2BDF"/>
    <w:rsid w:val="00724FCD"/>
    <w:rsid w:val="008A6B6B"/>
    <w:rsid w:val="00AD6778"/>
    <w:rsid w:val="00D63140"/>
    <w:rsid w:val="00EA035F"/>
    <w:rsid w:val="00F54B2F"/>
    <w:rsid w:val="22EE6438"/>
    <w:rsid w:val="5F6E5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spacing w:before="340" w:after="330" w:line="578" w:lineRule="auto"/>
      <w:outlineLvl w:val="0"/>
    </w:pPr>
    <w:rPr>
      <w:b/>
      <w:bCs/>
      <w:kern w:val="44"/>
      <w:sz w:val="44"/>
      <w:szCs w:val="44"/>
    </w:rPr>
  </w:style>
  <w:style w:type="paragraph" w:styleId="3">
    <w:name w:val="heading 2"/>
    <w:basedOn w:val="1"/>
    <w:next w:val="1"/>
    <w:link w:val="23"/>
    <w:unhideWhenUsed/>
    <w:uiPriority w:val="9"/>
    <w:pPr>
      <w:spacing w:before="260" w:after="260" w:line="415" w:lineRule="auto"/>
      <w:outlineLvl w:val="1"/>
    </w:pPr>
    <w:rPr>
      <w:rFonts w:asciiTheme="majorHAnsi" w:hAnsiTheme="majorHAnsi" w:cstheme="majorBidi"/>
      <w:b/>
      <w:bCs/>
      <w:sz w:val="32"/>
      <w:szCs w:val="32"/>
    </w:rPr>
  </w:style>
  <w:style w:type="paragraph" w:styleId="4">
    <w:name w:val="heading 3"/>
    <w:basedOn w:val="1"/>
    <w:next w:val="1"/>
    <w:link w:val="24"/>
    <w:unhideWhenUsed/>
    <w:qFormat/>
    <w:uiPriority w:val="9"/>
    <w:pPr>
      <w:spacing w:before="260" w:after="260" w:line="415" w:lineRule="auto"/>
      <w:outlineLvl w:val="2"/>
    </w:pPr>
    <w:rPr>
      <w:b/>
      <w:bCs/>
      <w:sz w:val="30"/>
      <w:szCs w:val="32"/>
    </w:rPr>
  </w:style>
  <w:style w:type="paragraph" w:styleId="5">
    <w:name w:val="heading 4"/>
    <w:basedOn w:val="1"/>
    <w:next w:val="1"/>
    <w:link w:val="25"/>
    <w:unhideWhenUsed/>
    <w:qFormat/>
    <w:uiPriority w:val="9"/>
    <w:pPr>
      <w:spacing w:before="280" w:after="290" w:line="377" w:lineRule="auto"/>
      <w:jc w:val="left"/>
      <w:outlineLvl w:val="3"/>
    </w:pPr>
    <w:rPr>
      <w:rFonts w:eastAsiaTheme="minorHAnsi" w:cstheme="majorBidi"/>
      <w:b/>
      <w:bCs/>
      <w:sz w:val="28"/>
      <w:szCs w:val="28"/>
    </w:rPr>
  </w:style>
  <w:style w:type="paragraph" w:styleId="6">
    <w:name w:val="heading 5"/>
    <w:basedOn w:val="1"/>
    <w:next w:val="1"/>
    <w:link w:val="26"/>
    <w:unhideWhenUsed/>
    <w:qFormat/>
    <w:uiPriority w:val="9"/>
    <w:pPr>
      <w:spacing w:before="280" w:after="290" w:line="377" w:lineRule="auto"/>
      <w:outlineLvl w:val="4"/>
    </w:pPr>
    <w:rPr>
      <w:b/>
      <w:bCs/>
      <w:sz w:val="24"/>
      <w:szCs w:val="28"/>
    </w:rPr>
  </w:style>
  <w:style w:type="character" w:default="1" w:styleId="16">
    <w:name w:val="Default Paragraph Font"/>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toc 5"/>
    <w:basedOn w:val="1"/>
    <w:next w:val="1"/>
    <w:unhideWhenUsed/>
    <w:uiPriority w:val="39"/>
    <w:pPr>
      <w:ind w:left="1680" w:leftChars="800"/>
    </w:pPr>
  </w:style>
  <w:style w:type="paragraph" w:styleId="8">
    <w:name w:val="toc 3"/>
    <w:basedOn w:val="1"/>
    <w:next w:val="1"/>
    <w:unhideWhenUsed/>
    <w:uiPriority w:val="39"/>
    <w:pPr>
      <w:ind w:left="840" w:leftChars="400"/>
    </w:pPr>
  </w:style>
  <w:style w:type="paragraph" w:styleId="9">
    <w:name w:val="footer"/>
    <w:basedOn w:val="1"/>
    <w:link w:val="20"/>
    <w:unhideWhenUsed/>
    <w:uiPriority w:val="99"/>
    <w:pPr>
      <w:tabs>
        <w:tab w:val="center" w:pos="4153"/>
        <w:tab w:val="right" w:pos="8306"/>
      </w:tabs>
      <w:snapToGrid w:val="0"/>
      <w:jc w:val="left"/>
    </w:pPr>
    <w:rPr>
      <w:sz w:val="18"/>
      <w:szCs w:val="18"/>
    </w:rPr>
  </w:style>
  <w:style w:type="paragraph" w:styleId="10">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style>
  <w:style w:type="paragraph" w:styleId="12">
    <w:name w:val="toc 4"/>
    <w:basedOn w:val="1"/>
    <w:next w:val="1"/>
    <w:unhideWhenUsed/>
    <w:uiPriority w:val="39"/>
    <w:pPr>
      <w:ind w:left="1260" w:leftChars="600"/>
    </w:pPr>
  </w:style>
  <w:style w:type="paragraph" w:styleId="13">
    <w:name w:val="toc 2"/>
    <w:basedOn w:val="1"/>
    <w:next w:val="1"/>
    <w:unhideWhenUsed/>
    <w:uiPriority w:val="39"/>
    <w:pPr>
      <w:ind w:left="420" w:leftChars="200"/>
    </w:pPr>
  </w:style>
  <w:style w:type="paragraph" w:styleId="1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7">
    <w:name w:val="Strong"/>
    <w:basedOn w:val="16"/>
    <w:qFormat/>
    <w:uiPriority w:val="22"/>
    <w:rPr>
      <w:b/>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customStyle="1" w:styleId="19">
    <w:name w:val="页眉 字符"/>
    <w:basedOn w:val="16"/>
    <w:link w:val="10"/>
    <w:qFormat/>
    <w:uiPriority w:val="99"/>
    <w:rPr>
      <w:sz w:val="18"/>
      <w:szCs w:val="18"/>
    </w:rPr>
  </w:style>
  <w:style w:type="character" w:customStyle="1" w:styleId="20">
    <w:name w:val="页脚 字符"/>
    <w:basedOn w:val="16"/>
    <w:link w:val="9"/>
    <w:uiPriority w:val="99"/>
    <w:rPr>
      <w:sz w:val="18"/>
      <w:szCs w:val="18"/>
    </w:rPr>
  </w:style>
  <w:style w:type="character" w:customStyle="1" w:styleId="21">
    <w:name w:val="标题 1 字符"/>
    <w:basedOn w:val="16"/>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3">
    <w:name w:val="标题 2 字符"/>
    <w:basedOn w:val="16"/>
    <w:link w:val="3"/>
    <w:qFormat/>
    <w:uiPriority w:val="9"/>
    <w:rPr>
      <w:rFonts w:asciiTheme="majorHAnsi" w:hAnsiTheme="majorHAnsi" w:cstheme="majorBidi"/>
      <w:b/>
      <w:bCs/>
      <w:sz w:val="32"/>
      <w:szCs w:val="32"/>
    </w:rPr>
  </w:style>
  <w:style w:type="character" w:customStyle="1" w:styleId="24">
    <w:name w:val="标题 3 字符"/>
    <w:basedOn w:val="16"/>
    <w:link w:val="4"/>
    <w:qFormat/>
    <w:uiPriority w:val="9"/>
    <w:rPr>
      <w:b/>
      <w:bCs/>
      <w:sz w:val="30"/>
      <w:szCs w:val="32"/>
    </w:rPr>
  </w:style>
  <w:style w:type="character" w:customStyle="1" w:styleId="25">
    <w:name w:val="标题 4 字符"/>
    <w:basedOn w:val="16"/>
    <w:link w:val="5"/>
    <w:qFormat/>
    <w:uiPriority w:val="9"/>
    <w:rPr>
      <w:rFonts w:eastAsiaTheme="minorHAnsi" w:cstheme="majorBidi"/>
      <w:b/>
      <w:bCs/>
      <w:sz w:val="28"/>
      <w:szCs w:val="28"/>
    </w:rPr>
  </w:style>
  <w:style w:type="character" w:customStyle="1" w:styleId="26">
    <w:name w:val="标题 5 字符"/>
    <w:basedOn w:val="16"/>
    <w:link w:val="6"/>
    <w:uiPriority w:val="9"/>
    <w:rPr>
      <w:b/>
      <w:bCs/>
      <w:sz w:val="24"/>
      <w:szCs w:val="28"/>
    </w:rPr>
  </w:style>
  <w:style w:type="paragraph" w:customStyle="1" w:styleId="27">
    <w:name w:val="标题2"/>
    <w:basedOn w:val="3"/>
    <w:link w:val="28"/>
    <w:qFormat/>
    <w:uiPriority w:val="0"/>
    <w:rPr>
      <w:rFonts w:asciiTheme="minorHAnsi" w:hAnsiTheme="minorHAnsi" w:eastAsiaTheme="minorHAnsi"/>
    </w:rPr>
  </w:style>
  <w:style w:type="character" w:customStyle="1" w:styleId="28">
    <w:name w:val="标题2 字符"/>
    <w:basedOn w:val="23"/>
    <w:link w:val="27"/>
    <w:qFormat/>
    <w:uiPriority w:val="0"/>
    <w:rPr>
      <w:rFonts w:asciiTheme="majorHAnsi" w:hAnsiTheme="majorHAnsi" w:eastAsiaTheme="minorHAnsi" w:cstheme="majorBidi"/>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CA4AF-778B-42EA-A61E-0FA6CDE4E6C8}">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Words>
  <Characters>502</Characters>
  <Lines>4</Lines>
  <Paragraphs>1</Paragraphs>
  <TotalTime>0</TotalTime>
  <ScaleCrop>false</ScaleCrop>
  <LinksUpToDate>false</LinksUpToDate>
  <CharactersWithSpaces>589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2020-01-15T06:12:00Z</dcterms:created>
  <dc:creator>陈耀辉</dc:creator>
  <cp:lastModifiedBy>Administrator</cp:lastModifiedBy>
  <dcterms:modified xsi:type="dcterms:W3CDTF">2026-02-04T07:34:49Z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