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6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继续有效的行政规范性文件目录（5件）</w:t>
      </w:r>
      <w:bookmarkEnd w:id="0"/>
    </w:p>
    <w:tbl>
      <w:tblPr>
        <w:tblStyle w:val="2"/>
        <w:tblW w:w="9515" w:type="dxa"/>
        <w:tblCellSpacing w:w="0" w:type="dxa"/>
        <w:tblInd w:w="-2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130"/>
        <w:gridCol w:w="255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文 件 标 题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文 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起草（实施）部门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关于修订企业登记档案资料查询有关规定的通知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慈工商〔2010〕44号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关于印发行政处罚案件档案查阅暂行规定的通知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慈工商〔2010〕88号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法规科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仿宋_GB2312"/>
                <w:color w:val="000000"/>
                <w:sz w:val="24"/>
                <w:szCs w:val="24"/>
              </w:rPr>
              <w:t>关于印发《宁波市工商行政管理局慈溪分局企业信用预警管理实施办法》的通知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慈工商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〔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2010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80号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关于修订《宁波市工商局慈溪分局投诉案件受理、查处、回复等有关问题的规定》的通知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慈工商〔2012〕10号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经检科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关于印发慈溪市消费维权约谈制度的通知</w:t>
            </w:r>
          </w:p>
        </w:tc>
        <w:tc>
          <w:tcPr>
            <w:tcW w:w="2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慈工商〔2010〕99号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12315中心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24AFB"/>
    <w:rsid w:val="3BC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2019-12-06T07:52:00Z</dcterms:created>
  <dc:creator>LICHENG</dc:creator>
  <cp:lastModifiedBy>LICHENG</cp:lastModifiedBy>
  <dcterms:modified xsi:type="dcterms:W3CDTF">2019-12-06T07:52:52Z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