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2" w:lineRule="atLeast"/>
        <w:jc w:val="center"/>
        <w:rPr>
          <w:rFonts w:hint="eastAsia" w:ascii="方正小标宋简体" w:hAnsi="黑体" w:eastAsia="方正小标宋简体"/>
          <w:snapToGrid w:val="0"/>
          <w:color w:val="000000"/>
          <w:spacing w:val="-4"/>
          <w:sz w:val="36"/>
          <w:szCs w:val="36"/>
        </w:rPr>
      </w:pPr>
      <w:r>
        <w:rPr>
          <w:rFonts w:hint="eastAsia" w:ascii="方正小标宋简体" w:hAnsi="黑体" w:eastAsia="方正小标宋简体" w:cs="黑体"/>
          <w:snapToGrid w:val="0"/>
          <w:color w:val="000000"/>
          <w:spacing w:val="-4"/>
          <w:sz w:val="36"/>
          <w:szCs w:val="36"/>
        </w:rPr>
        <w:t>政府信息公开情况统计表</w:t>
      </w:r>
    </w:p>
    <w:p>
      <w:pPr>
        <w:widowControl/>
        <w:spacing w:line="600" w:lineRule="exact"/>
        <w:jc w:val="center"/>
        <w:rPr>
          <w:rFonts w:hint="eastAsia" w:ascii="仿宋_GB2312" w:hAnsi="宋体" w:eastAsia="仿宋_GB2312"/>
          <w:snapToGrid w:val="0"/>
          <w:color w:val="000000"/>
          <w:spacing w:val="-4"/>
          <w:sz w:val="24"/>
          <w:szCs w:val="24"/>
        </w:rPr>
      </w:pPr>
      <w:r>
        <w:rPr>
          <w:rFonts w:hint="eastAsia" w:ascii="楷体_GB2312" w:hAnsi="宋体" w:eastAsia="楷体_GB2312" w:cs="楷体_GB2312"/>
          <w:snapToGrid w:val="0"/>
          <w:color w:val="000000"/>
          <w:spacing w:val="-4"/>
          <w:sz w:val="24"/>
          <w:szCs w:val="24"/>
        </w:rPr>
        <w:t>（</w:t>
      </w:r>
      <w:r>
        <w:rPr>
          <w:rFonts w:hint="eastAsia" w:ascii="楷体_GB2312" w:hAnsi="宋体" w:eastAsia="楷体_GB2312" w:cs="楷体_GB2312"/>
          <w:snapToGrid w:val="0"/>
          <w:color w:val="000000"/>
          <w:spacing w:val="-4"/>
          <w:sz w:val="24"/>
          <w:szCs w:val="24"/>
          <w:lang w:val="en-US" w:eastAsia="zh-CN"/>
        </w:rPr>
        <w:t>2017</w:t>
      </w:r>
      <w:r>
        <w:rPr>
          <w:rFonts w:hint="eastAsia" w:ascii="楷体_GB2312" w:hAnsi="宋体" w:eastAsia="楷体_GB2312" w:cs="楷体_GB2312"/>
          <w:snapToGrid w:val="0"/>
          <w:color w:val="000000"/>
          <w:spacing w:val="-4"/>
          <w:sz w:val="24"/>
          <w:szCs w:val="24"/>
        </w:rPr>
        <w:t>年度）</w:t>
      </w:r>
    </w:p>
    <w:tbl>
      <w:tblPr>
        <w:tblStyle w:val="3"/>
        <w:tblW w:w="9000" w:type="dxa"/>
        <w:tblInd w:w="-300" w:type="dxa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0"/>
        <w:gridCol w:w="800"/>
        <w:gridCol w:w="1200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Cs/>
                <w:snapToGrid w:val="0"/>
                <w:spacing w:val="-4"/>
                <w:sz w:val="24"/>
                <w:szCs w:val="24"/>
              </w:rPr>
              <w:t>统　计　指　标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Cs/>
                <w:snapToGrid w:val="0"/>
                <w:spacing w:val="-4"/>
                <w:sz w:val="24"/>
                <w:szCs w:val="24"/>
              </w:rPr>
              <w:t>单位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Cs/>
                <w:snapToGrid w:val="0"/>
                <w:spacing w:val="-4"/>
                <w:sz w:val="24"/>
                <w:szCs w:val="24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一、主动公开情况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——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（一）主动公开政府信息数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（不同渠道和方式公开相同信息计1条）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条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　其中：主动公开规范性文件数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条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　　　　制发规范性文件总数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（二）通过不同渠道和方式公开政府信息的情况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——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1.政府公报公开政府信息数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条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2.政府网站公开政府信息数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条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239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3.政务微博公开政府信息数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条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312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4.政务微信公开政府信息数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条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346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5.其他方式公开政府信息数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条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290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二、回应解读情况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——</w:t>
            </w:r>
          </w:p>
        </w:tc>
        <w:tc>
          <w:tcPr>
            <w:tcW w:w="120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（一）回应公众关注热点或重大舆情数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（不同方式回应同一热点或舆情计1次）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（二）通过不同渠道和方式回应解读的情况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——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1.参加或举办新闻发布会总次数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　其中：主要负责同志参加新闻发布会次数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2.政府网站在线访谈次数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　其中：主要负责同志参加政府网站在线访谈次数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3.政策解读稿件发布数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篇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4.微博微信回应事件数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63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5.其他方式回应事件数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14420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三、依申请公开情况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——</w:t>
            </w:r>
          </w:p>
        </w:tc>
        <w:tc>
          <w:tcPr>
            <w:tcW w:w="120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（一）收到申请数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1.当面申请数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2.传真申请数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3.网络申请数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4.信函申请数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（二）申请办结数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1.按时办结数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2.延期办结数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（三）申请答复数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1.属于已主动公开范围数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2.同意公开答复数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3.同意部分公开答复数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4.不同意公开答复数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　其中：涉及国家秘密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　　　　涉及商业秘密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　　　　涉及个人隐私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　　　　危及国家安全、公共安全、经济安全和社会稳定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　　　　不是《条例》所指政府信息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　　　　法律法规规定的其他情形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5.不属于本行政机关公开数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6.申请信息不存在数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7.告知作出更改补充数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8.告知通过其他途径办理数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四、行政复议数量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（一）维持具体行政行为数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（二）被依法纠错数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（三）其他情形数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五、行政诉讼数量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（一）维持具体行政行为或者驳回原告诉讼请求数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（二）被依法纠错数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（三）其他情形数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六、举报投诉数量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七、依申请公开信息收取的费用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万元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八、机构建设和保障经费情况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——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（一）政府信息公开工作专门机构数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个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（二）设置政府信息公开查阅点数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个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（三）从事政府信息公开工作人员数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人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1.专职人员数（不包括政府公报及政府网站工作人员数）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人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　　　2.兼职人员数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人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390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（四）政府信息公开专项经费（不包括用于政府公报编辑管理及</w:t>
            </w:r>
          </w:p>
          <w:p>
            <w:pPr>
              <w:widowControl/>
              <w:adjustRightInd w:val="0"/>
              <w:snapToGrid w:val="0"/>
              <w:spacing w:line="320" w:lineRule="exact"/>
              <w:ind w:firstLine="1143" w:firstLineChars="493"/>
              <w:jc w:val="left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政府网站建设维护等方面的经费）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万元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九、政府信息公开会议和培训情况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——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（一）召开政府信息公开工作会议或专题会议数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（二）举办各类培训班数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　　（三）接受培训人员数</w:t>
            </w: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4"/>
                <w:sz w:val="24"/>
                <w:szCs w:val="24"/>
              </w:rPr>
              <w:t>人次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55</w:t>
            </w:r>
          </w:p>
        </w:tc>
      </w:tr>
    </w:tbl>
    <w:p>
      <w:pPr>
        <w:spacing w:line="32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82DE6"/>
    <w:rsid w:val="140C6B34"/>
    <w:rsid w:val="41C82DE6"/>
    <w:rsid w:val="577206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2017-12-12T02:01:00Z</dcterms:created>
  <dc:creator>高莺</dc:creator>
  <cp:lastModifiedBy>排骨人</cp:lastModifiedBy>
  <dcterms:modified xsi:type="dcterms:W3CDTF">2018-03-30T07:53:27Z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